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szCs w:val="32"/>
        </w:rPr>
      </w:pPr>
      <w:r>
        <w:rPr>
          <w:rFonts w:ascii="Times New Roman" w:hAnsi="Times New Roman" w:eastAsia="黑体"/>
          <w:szCs w:val="32"/>
        </w:rPr>
        <w:t>附件3</w:t>
      </w:r>
    </w:p>
    <w:p>
      <w:pPr>
        <w:widowControl/>
        <w:spacing w:line="400" w:lineRule="exact"/>
        <w:jc w:val="center"/>
        <w:rPr>
          <w:rFonts w:ascii="Times New Roman" w:hAnsi="Times New Roman" w:eastAsia="方正小标宋_GBK"/>
          <w:color w:val="000000"/>
          <w:kern w:val="0"/>
          <w:sz w:val="36"/>
          <w:szCs w:val="36"/>
        </w:rPr>
      </w:pPr>
      <w:r>
        <w:rPr>
          <w:rFonts w:ascii="Times New Roman" w:hAnsi="Times New Roman" w:eastAsia="方正小标宋_GBK"/>
          <w:color w:val="000000"/>
          <w:kern w:val="0"/>
          <w:sz w:val="36"/>
          <w:szCs w:val="36"/>
        </w:rPr>
        <w:t>2025年度部门整体支出绩效自评表</w:t>
      </w:r>
    </w:p>
    <w:tbl>
      <w:tblPr>
        <w:tblStyle w:val="6"/>
        <w:tblW w:w="103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1172"/>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 w:hRule="atLeast"/>
          <w:jc w:val="center"/>
        </w:trPr>
        <w:tc>
          <w:tcPr>
            <w:tcW w:w="1303"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预算部门、单位名称</w:t>
            </w:r>
          </w:p>
        </w:tc>
        <w:tc>
          <w:tcPr>
            <w:tcW w:w="9020" w:type="dxa"/>
            <w:gridSpan w:val="9"/>
            <w:noWrap w:val="0"/>
            <w:vAlign w:val="center"/>
          </w:tcPr>
          <w:p>
            <w:pPr>
              <w:widowControl/>
              <w:jc w:val="center"/>
              <w:rPr>
                <w:rFonts w:ascii="Times New Roman" w:hAnsi="Times New Roman"/>
                <w:color w:val="000000"/>
                <w:kern w:val="0"/>
                <w:sz w:val="21"/>
                <w:szCs w:val="21"/>
              </w:rPr>
            </w:pPr>
            <w:r>
              <w:rPr>
                <w:rFonts w:hint="eastAsia" w:ascii="Times New Roman"/>
                <w:color w:val="000000"/>
                <w:kern w:val="0"/>
                <w:sz w:val="21"/>
                <w:szCs w:val="21"/>
                <w:lang w:val="en-US" w:eastAsia="zh-CN"/>
              </w:rPr>
              <w:t>益阳市卫生健康委员会</w:t>
            </w: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年度预</w:t>
            </w:r>
          </w:p>
          <w:p>
            <w:pPr>
              <w:widowControl/>
              <w:jc w:val="center"/>
              <w:rPr>
                <w:rFonts w:ascii="Times New Roman" w:hAnsi="Times New Roman"/>
                <w:color w:val="000000"/>
                <w:kern w:val="0"/>
                <w:sz w:val="21"/>
                <w:szCs w:val="21"/>
              </w:rPr>
            </w:pPr>
            <w:r>
              <w:rPr>
                <w:rFonts w:ascii="Times New Roman"/>
                <w:color w:val="000000"/>
                <w:kern w:val="0"/>
                <w:sz w:val="21"/>
                <w:szCs w:val="21"/>
              </w:rPr>
              <w:t>算申请</w:t>
            </w:r>
            <w:r>
              <w:rPr>
                <w:rFonts w:ascii="Times New Roman" w:hAnsi="Times New Roman"/>
                <w:color w:val="000000"/>
                <w:kern w:val="0"/>
                <w:sz w:val="21"/>
                <w:szCs w:val="21"/>
              </w:rPr>
              <w:br w:type="textWrapping"/>
            </w:r>
            <w:r>
              <w:rPr>
                <w:rFonts w:ascii="Times New Roman"/>
                <w:color w:val="000000"/>
                <w:kern w:val="0"/>
                <w:sz w:val="21"/>
                <w:szCs w:val="21"/>
              </w:rPr>
              <w:t>（万元）</w:t>
            </w:r>
          </w:p>
        </w:tc>
        <w:tc>
          <w:tcPr>
            <w:tcW w:w="2424" w:type="dxa"/>
            <w:gridSpan w:val="2"/>
            <w:noWrap w:val="0"/>
            <w:vAlign w:val="center"/>
          </w:tcPr>
          <w:p>
            <w:pPr>
              <w:jc w:val="center"/>
              <w:rPr>
                <w:rFonts w:ascii="Times New Roman" w:hAnsi="Times New Roman"/>
                <w:sz w:val="21"/>
                <w:szCs w:val="21"/>
              </w:rPr>
            </w:pPr>
          </w:p>
        </w:tc>
        <w:tc>
          <w:tcPr>
            <w:tcW w:w="1114" w:type="dxa"/>
            <w:noWrap w:val="0"/>
            <w:vAlign w:val="center"/>
          </w:tcPr>
          <w:p>
            <w:pPr>
              <w:jc w:val="center"/>
              <w:rPr>
                <w:rFonts w:ascii="Times New Roman" w:hAnsi="Times New Roman"/>
                <w:sz w:val="21"/>
                <w:szCs w:val="21"/>
              </w:rPr>
            </w:pPr>
            <w:r>
              <w:rPr>
                <w:rFonts w:ascii="Times New Roman"/>
                <w:sz w:val="21"/>
                <w:szCs w:val="21"/>
              </w:rPr>
              <w:t>年初</w:t>
            </w:r>
          </w:p>
          <w:p>
            <w:pPr>
              <w:jc w:val="center"/>
              <w:rPr>
                <w:rFonts w:ascii="Times New Roman" w:hAnsi="Times New Roman"/>
                <w:sz w:val="21"/>
                <w:szCs w:val="21"/>
              </w:rPr>
            </w:pPr>
            <w:r>
              <w:rPr>
                <w:rFonts w:ascii="Times New Roman"/>
                <w:sz w:val="21"/>
                <w:szCs w:val="21"/>
              </w:rPr>
              <w:t>预算数</w:t>
            </w:r>
          </w:p>
        </w:tc>
        <w:tc>
          <w:tcPr>
            <w:tcW w:w="1295" w:type="dxa"/>
            <w:gridSpan w:val="2"/>
            <w:noWrap w:val="0"/>
            <w:vAlign w:val="center"/>
          </w:tcPr>
          <w:p>
            <w:pPr>
              <w:jc w:val="center"/>
              <w:rPr>
                <w:rFonts w:ascii="Times New Roman" w:hAnsi="Times New Roman"/>
                <w:sz w:val="21"/>
                <w:szCs w:val="21"/>
              </w:rPr>
            </w:pPr>
            <w:r>
              <w:rPr>
                <w:rFonts w:ascii="Times New Roman"/>
                <w:sz w:val="21"/>
                <w:szCs w:val="21"/>
              </w:rPr>
              <w:t>全年预算数</w:t>
            </w:r>
          </w:p>
        </w:tc>
        <w:tc>
          <w:tcPr>
            <w:tcW w:w="1134" w:type="dxa"/>
            <w:noWrap w:val="0"/>
            <w:vAlign w:val="center"/>
          </w:tcPr>
          <w:p>
            <w:pPr>
              <w:jc w:val="center"/>
              <w:rPr>
                <w:rFonts w:ascii="Times New Roman" w:hAnsi="Times New Roman"/>
                <w:sz w:val="21"/>
                <w:szCs w:val="21"/>
              </w:rPr>
            </w:pPr>
            <w:r>
              <w:rPr>
                <w:rFonts w:ascii="Times New Roman"/>
                <w:sz w:val="21"/>
                <w:szCs w:val="21"/>
              </w:rPr>
              <w:t>全年</w:t>
            </w:r>
          </w:p>
          <w:p>
            <w:pPr>
              <w:jc w:val="center"/>
              <w:rPr>
                <w:rFonts w:ascii="Times New Roman" w:hAnsi="Times New Roman"/>
                <w:sz w:val="21"/>
                <w:szCs w:val="21"/>
              </w:rPr>
            </w:pPr>
            <w:r>
              <w:rPr>
                <w:rFonts w:ascii="Times New Roman"/>
                <w:sz w:val="21"/>
                <w:szCs w:val="21"/>
              </w:rPr>
              <w:t>执行数</w:t>
            </w:r>
          </w:p>
        </w:tc>
        <w:tc>
          <w:tcPr>
            <w:tcW w:w="709" w:type="dxa"/>
            <w:noWrap w:val="0"/>
            <w:vAlign w:val="center"/>
          </w:tcPr>
          <w:p>
            <w:pPr>
              <w:jc w:val="center"/>
              <w:rPr>
                <w:rFonts w:ascii="Times New Roman" w:hAnsi="Times New Roman"/>
                <w:sz w:val="21"/>
                <w:szCs w:val="21"/>
              </w:rPr>
            </w:pPr>
            <w:r>
              <w:rPr>
                <w:rFonts w:ascii="Times New Roman"/>
                <w:sz w:val="21"/>
                <w:szCs w:val="21"/>
              </w:rPr>
              <w:t>分值</w:t>
            </w:r>
          </w:p>
        </w:tc>
        <w:tc>
          <w:tcPr>
            <w:tcW w:w="898" w:type="dxa"/>
            <w:noWrap w:val="0"/>
            <w:vAlign w:val="center"/>
          </w:tcPr>
          <w:p>
            <w:pPr>
              <w:jc w:val="center"/>
              <w:rPr>
                <w:rFonts w:ascii="Times New Roman" w:hAnsi="Times New Roman"/>
                <w:sz w:val="21"/>
                <w:szCs w:val="21"/>
              </w:rPr>
            </w:pPr>
            <w:r>
              <w:rPr>
                <w:rFonts w:ascii="Times New Roman"/>
                <w:sz w:val="21"/>
                <w:szCs w:val="21"/>
              </w:rPr>
              <w:t>执行率</w:t>
            </w:r>
          </w:p>
        </w:tc>
        <w:tc>
          <w:tcPr>
            <w:tcW w:w="1446" w:type="dxa"/>
            <w:noWrap w:val="0"/>
            <w:vAlign w:val="center"/>
          </w:tcPr>
          <w:p>
            <w:pPr>
              <w:jc w:val="center"/>
              <w:rPr>
                <w:rFonts w:ascii="Times New Roman" w:hAnsi="Times New Roman"/>
                <w:sz w:val="21"/>
                <w:szCs w:val="21"/>
              </w:rPr>
            </w:pPr>
            <w:r>
              <w:rPr>
                <w:rFonts w:ascii="Times New Roman"/>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center"/>
              <w:rPr>
                <w:rFonts w:ascii="Times New Roman" w:hAnsi="Times New Roman"/>
                <w:color w:val="000000"/>
                <w:kern w:val="0"/>
                <w:sz w:val="21"/>
                <w:szCs w:val="21"/>
              </w:rPr>
            </w:pPr>
          </w:p>
        </w:tc>
        <w:tc>
          <w:tcPr>
            <w:tcW w:w="2424" w:type="dxa"/>
            <w:gridSpan w:val="2"/>
            <w:noWrap w:val="0"/>
            <w:vAlign w:val="center"/>
          </w:tcPr>
          <w:p>
            <w:pPr>
              <w:jc w:val="center"/>
              <w:rPr>
                <w:rFonts w:ascii="Times New Roman" w:hAnsi="Times New Roman"/>
                <w:sz w:val="21"/>
                <w:szCs w:val="21"/>
              </w:rPr>
            </w:pPr>
            <w:r>
              <w:rPr>
                <w:rFonts w:ascii="Times New Roman"/>
                <w:color w:val="000000"/>
                <w:kern w:val="0"/>
                <w:sz w:val="21"/>
                <w:szCs w:val="21"/>
              </w:rPr>
              <w:t>年度资金总额</w:t>
            </w:r>
          </w:p>
        </w:tc>
        <w:tc>
          <w:tcPr>
            <w:tcW w:w="1114" w:type="dxa"/>
            <w:noWrap w:val="0"/>
            <w:vAlign w:val="center"/>
          </w:tcPr>
          <w:p>
            <w:pPr>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12388.35</w:t>
            </w:r>
          </w:p>
        </w:tc>
        <w:tc>
          <w:tcPr>
            <w:tcW w:w="1295" w:type="dxa"/>
            <w:gridSpan w:val="2"/>
            <w:noWrap w:val="0"/>
            <w:vAlign w:val="center"/>
          </w:tcPr>
          <w:p>
            <w:pPr>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262616.61</w:t>
            </w:r>
          </w:p>
        </w:tc>
        <w:tc>
          <w:tcPr>
            <w:tcW w:w="1134" w:type="dxa"/>
            <w:noWrap w:val="0"/>
            <w:vAlign w:val="center"/>
          </w:tcPr>
          <w:p>
            <w:pPr>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233111.03</w:t>
            </w:r>
          </w:p>
        </w:tc>
        <w:tc>
          <w:tcPr>
            <w:tcW w:w="709" w:type="dxa"/>
            <w:noWrap w:val="0"/>
            <w:vAlign w:val="center"/>
          </w:tcPr>
          <w:p>
            <w:pPr>
              <w:jc w:val="center"/>
              <w:rPr>
                <w:rFonts w:ascii="Times New Roman" w:hAnsi="Times New Roman"/>
                <w:sz w:val="21"/>
                <w:szCs w:val="21"/>
              </w:rPr>
            </w:pPr>
            <w:r>
              <w:rPr>
                <w:rFonts w:ascii="Times New Roman" w:hAnsi="Times New Roman"/>
                <w:sz w:val="21"/>
                <w:szCs w:val="21"/>
              </w:rPr>
              <w:t>10</w:t>
            </w:r>
          </w:p>
        </w:tc>
        <w:tc>
          <w:tcPr>
            <w:tcW w:w="898" w:type="dxa"/>
            <w:noWrap w:val="0"/>
            <w:vAlign w:val="center"/>
          </w:tcPr>
          <w:p>
            <w:pPr>
              <w:jc w:val="center"/>
              <w:rPr>
                <w:rFonts w:ascii="Times New Roman" w:hAnsi="Times New Roman"/>
                <w:sz w:val="21"/>
                <w:szCs w:val="21"/>
              </w:rPr>
            </w:pPr>
            <w:r>
              <w:rPr>
                <w:rFonts w:hint="eastAsia" w:ascii="微软雅黑" w:hAnsi="微软雅黑" w:eastAsia="微软雅黑" w:cs="微软雅黑"/>
                <w:i w:val="0"/>
                <w:caps w:val="0"/>
                <w:color w:val="000000"/>
                <w:spacing w:val="0"/>
                <w:sz w:val="18"/>
                <w:szCs w:val="18"/>
                <w:shd w:val="clear" w:fill="F5F7FA"/>
                <w:lang w:val="en-US" w:eastAsia="zh-CN"/>
              </w:rPr>
              <w:t>88.76</w:t>
            </w:r>
            <w:r>
              <w:rPr>
                <w:rFonts w:ascii="微软雅黑" w:hAnsi="微软雅黑" w:eastAsia="微软雅黑" w:cs="微软雅黑"/>
                <w:i w:val="0"/>
                <w:caps w:val="0"/>
                <w:color w:val="000000"/>
                <w:spacing w:val="0"/>
                <w:sz w:val="18"/>
                <w:szCs w:val="18"/>
                <w:shd w:val="clear" w:fill="F5F7FA"/>
              </w:rPr>
              <w:t xml:space="preserve"> %</w:t>
            </w:r>
          </w:p>
        </w:tc>
        <w:tc>
          <w:tcPr>
            <w:tcW w:w="1446" w:type="dxa"/>
            <w:noWrap w:val="0"/>
            <w:vAlign w:val="center"/>
          </w:tcPr>
          <w:p>
            <w:pPr>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rFonts w:ascii="Times New Roman" w:hAnsi="Times New Roman"/>
                <w:color w:val="000000"/>
                <w:kern w:val="0"/>
                <w:sz w:val="21"/>
                <w:szCs w:val="21"/>
              </w:rPr>
            </w:pPr>
          </w:p>
        </w:tc>
        <w:tc>
          <w:tcPr>
            <w:tcW w:w="4833" w:type="dxa"/>
            <w:gridSpan w:val="5"/>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按收入性质分：</w:t>
            </w:r>
          </w:p>
        </w:tc>
        <w:tc>
          <w:tcPr>
            <w:tcW w:w="4187" w:type="dxa"/>
            <w:gridSpan w:val="4"/>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rFonts w:ascii="Times New Roman" w:hAnsi="Times New Roman"/>
                <w:color w:val="000000"/>
                <w:kern w:val="0"/>
                <w:sz w:val="21"/>
                <w:szCs w:val="21"/>
              </w:rPr>
            </w:pPr>
          </w:p>
        </w:tc>
        <w:tc>
          <w:tcPr>
            <w:tcW w:w="4833" w:type="dxa"/>
            <w:gridSpan w:val="5"/>
            <w:noWrap w:val="0"/>
            <w:vAlign w:val="center"/>
          </w:tcPr>
          <w:p>
            <w:pPr>
              <w:widowControl/>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 xml:space="preserve">  </w:t>
            </w:r>
            <w:r>
              <w:rPr>
                <w:rFonts w:ascii="Times New Roman"/>
                <w:color w:val="000000"/>
                <w:kern w:val="0"/>
                <w:sz w:val="21"/>
                <w:szCs w:val="21"/>
              </w:rPr>
              <w:t>其中：</w:t>
            </w:r>
            <w:r>
              <w:rPr>
                <w:rFonts w:ascii="Times New Roman" w:hAnsi="Times New Roman"/>
                <w:color w:val="000000"/>
                <w:kern w:val="0"/>
                <w:sz w:val="21"/>
                <w:szCs w:val="21"/>
              </w:rPr>
              <w:t xml:space="preserve">  </w:t>
            </w:r>
            <w:r>
              <w:rPr>
                <w:rFonts w:ascii="Times New Roman"/>
                <w:color w:val="000000"/>
                <w:kern w:val="0"/>
                <w:sz w:val="21"/>
                <w:szCs w:val="21"/>
              </w:rPr>
              <w:t>一般公共预算：</w:t>
            </w:r>
            <w:r>
              <w:rPr>
                <w:rFonts w:hint="eastAsia" w:ascii="Times New Roman"/>
                <w:color w:val="000000"/>
                <w:kern w:val="0"/>
                <w:sz w:val="21"/>
                <w:szCs w:val="21"/>
                <w:lang w:val="en-US" w:eastAsia="zh-CN"/>
              </w:rPr>
              <w:t>54281.44</w:t>
            </w:r>
          </w:p>
        </w:tc>
        <w:tc>
          <w:tcPr>
            <w:tcW w:w="4187" w:type="dxa"/>
            <w:gridSpan w:val="4"/>
            <w:noWrap w:val="0"/>
            <w:vAlign w:val="center"/>
          </w:tcPr>
          <w:p>
            <w:pPr>
              <w:widowControl/>
              <w:jc w:val="left"/>
              <w:rPr>
                <w:rFonts w:hint="default" w:ascii="Times New Roman" w:hAnsi="Times New Roman" w:eastAsia="仿宋_GB2312"/>
                <w:color w:val="000000"/>
                <w:kern w:val="0"/>
                <w:sz w:val="21"/>
                <w:szCs w:val="21"/>
                <w:lang w:val="en-US" w:eastAsia="zh-CN"/>
              </w:rPr>
            </w:pPr>
            <w:r>
              <w:rPr>
                <w:rFonts w:ascii="Times New Roman"/>
                <w:color w:val="000000"/>
                <w:kern w:val="0"/>
                <w:sz w:val="21"/>
                <w:szCs w:val="21"/>
              </w:rPr>
              <w:t>其中：基本支出：</w:t>
            </w:r>
            <w:r>
              <w:rPr>
                <w:rFonts w:hint="eastAsia" w:ascii="Times New Roman"/>
                <w:color w:val="000000"/>
                <w:kern w:val="0"/>
                <w:sz w:val="21"/>
                <w:szCs w:val="21"/>
                <w:lang w:val="en-US" w:eastAsia="zh-CN"/>
              </w:rPr>
              <w:t>200062.74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rFonts w:ascii="Times New Roman" w:hAnsi="Times New Roman"/>
                <w:color w:val="000000"/>
                <w:kern w:val="0"/>
                <w:sz w:val="21"/>
                <w:szCs w:val="21"/>
              </w:rPr>
            </w:pPr>
          </w:p>
        </w:tc>
        <w:tc>
          <w:tcPr>
            <w:tcW w:w="4833" w:type="dxa"/>
            <w:gridSpan w:val="5"/>
            <w:noWrap w:val="0"/>
            <w:vAlign w:val="center"/>
          </w:tcPr>
          <w:p>
            <w:pPr>
              <w:widowControl/>
              <w:ind w:firstLine="840" w:firstLineChars="400"/>
              <w:jc w:val="left"/>
              <w:rPr>
                <w:rFonts w:hint="default" w:ascii="Times New Roman" w:hAnsi="Times New Roman" w:eastAsia="仿宋_GB2312"/>
                <w:color w:val="000000"/>
                <w:kern w:val="0"/>
                <w:sz w:val="21"/>
                <w:szCs w:val="21"/>
                <w:lang w:val="en-US" w:eastAsia="zh-CN"/>
              </w:rPr>
            </w:pPr>
            <w:r>
              <w:rPr>
                <w:rFonts w:ascii="Times New Roman"/>
                <w:color w:val="000000"/>
                <w:kern w:val="0"/>
                <w:sz w:val="21"/>
                <w:szCs w:val="21"/>
              </w:rPr>
              <w:t>政府性基金拨款：</w:t>
            </w:r>
            <w:r>
              <w:rPr>
                <w:rFonts w:hint="eastAsia" w:ascii="Times New Roman"/>
                <w:color w:val="000000"/>
                <w:kern w:val="0"/>
                <w:sz w:val="21"/>
                <w:szCs w:val="21"/>
                <w:lang w:val="en-US" w:eastAsia="zh-CN"/>
              </w:rPr>
              <w:t>9667.58</w:t>
            </w:r>
          </w:p>
        </w:tc>
        <w:tc>
          <w:tcPr>
            <w:tcW w:w="4187" w:type="dxa"/>
            <w:gridSpan w:val="4"/>
            <w:noWrap w:val="0"/>
            <w:vAlign w:val="center"/>
          </w:tcPr>
          <w:p>
            <w:pPr>
              <w:widowControl/>
              <w:ind w:firstLine="630" w:firstLineChars="300"/>
              <w:jc w:val="left"/>
              <w:rPr>
                <w:rFonts w:hint="default" w:ascii="Times New Roman" w:hAnsi="Times New Roman" w:eastAsia="仿宋_GB2312"/>
                <w:color w:val="000000"/>
                <w:kern w:val="0"/>
                <w:sz w:val="21"/>
                <w:szCs w:val="21"/>
                <w:lang w:val="en-US" w:eastAsia="zh-CN"/>
              </w:rPr>
            </w:pPr>
            <w:r>
              <w:rPr>
                <w:rFonts w:ascii="Times New Roman"/>
                <w:color w:val="000000"/>
                <w:kern w:val="0"/>
                <w:sz w:val="21"/>
                <w:szCs w:val="21"/>
              </w:rPr>
              <w:t>项目支出：</w:t>
            </w:r>
            <w:r>
              <w:rPr>
                <w:rFonts w:hint="eastAsia" w:ascii="Times New Roman"/>
                <w:color w:val="000000"/>
                <w:kern w:val="0"/>
                <w:sz w:val="21"/>
                <w:szCs w:val="21"/>
                <w:lang w:val="en-US" w:eastAsia="zh-CN"/>
              </w:rPr>
              <w:t>33048.29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rFonts w:ascii="Times New Roman" w:hAnsi="Times New Roman"/>
                <w:color w:val="000000"/>
                <w:kern w:val="0"/>
                <w:sz w:val="21"/>
                <w:szCs w:val="21"/>
              </w:rPr>
            </w:pPr>
          </w:p>
        </w:tc>
        <w:tc>
          <w:tcPr>
            <w:tcW w:w="4833" w:type="dxa"/>
            <w:gridSpan w:val="5"/>
            <w:noWrap w:val="0"/>
            <w:vAlign w:val="center"/>
          </w:tcPr>
          <w:p>
            <w:pPr>
              <w:widowControl/>
              <w:jc w:val="left"/>
              <w:rPr>
                <w:rFonts w:hint="default" w:ascii="Times New Roman" w:hAnsi="Times New Roman" w:eastAsia="仿宋_GB2312"/>
                <w:color w:val="000000"/>
                <w:kern w:val="0"/>
                <w:sz w:val="21"/>
                <w:szCs w:val="21"/>
                <w:lang w:val="en-US" w:eastAsia="zh-CN"/>
              </w:rPr>
            </w:pPr>
            <w:r>
              <w:rPr>
                <w:rFonts w:ascii="Times New Roman"/>
                <w:color w:val="000000"/>
                <w:kern w:val="0"/>
                <w:sz w:val="21"/>
                <w:szCs w:val="21"/>
              </w:rPr>
              <w:t>纳入专户管理的非税收入拨款：</w:t>
            </w:r>
            <w:r>
              <w:rPr>
                <w:rFonts w:hint="eastAsia" w:ascii="Times New Roman"/>
                <w:color w:val="000000"/>
                <w:kern w:val="0"/>
                <w:sz w:val="21"/>
                <w:szCs w:val="21"/>
                <w:lang w:val="en-US" w:eastAsia="zh-CN"/>
              </w:rPr>
              <w:t>2262.32</w:t>
            </w:r>
          </w:p>
        </w:tc>
        <w:tc>
          <w:tcPr>
            <w:tcW w:w="4187" w:type="dxa"/>
            <w:gridSpan w:val="4"/>
            <w:noWrap w:val="0"/>
            <w:vAlign w:val="center"/>
          </w:tcPr>
          <w:p>
            <w:pPr>
              <w:widowControl/>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vMerge w:val="continue"/>
            <w:noWrap w:val="0"/>
            <w:vAlign w:val="center"/>
          </w:tcPr>
          <w:p>
            <w:pPr>
              <w:widowControl/>
              <w:jc w:val="left"/>
              <w:rPr>
                <w:rFonts w:ascii="Times New Roman" w:hAnsi="Times New Roman"/>
                <w:color w:val="000000"/>
                <w:kern w:val="0"/>
                <w:sz w:val="21"/>
                <w:szCs w:val="21"/>
              </w:rPr>
            </w:pPr>
          </w:p>
        </w:tc>
        <w:tc>
          <w:tcPr>
            <w:tcW w:w="4833" w:type="dxa"/>
            <w:gridSpan w:val="5"/>
            <w:noWrap w:val="0"/>
            <w:vAlign w:val="center"/>
          </w:tcPr>
          <w:p>
            <w:pPr>
              <w:widowControl/>
              <w:ind w:firstLine="1470" w:firstLineChars="700"/>
              <w:jc w:val="left"/>
              <w:rPr>
                <w:rFonts w:hint="default" w:ascii="Times New Roman" w:hAnsi="Times New Roman" w:eastAsia="仿宋_GB2312"/>
                <w:color w:val="000000"/>
                <w:kern w:val="0"/>
                <w:sz w:val="21"/>
                <w:szCs w:val="21"/>
                <w:lang w:val="en-US" w:eastAsia="zh-CN"/>
              </w:rPr>
            </w:pPr>
            <w:r>
              <w:rPr>
                <w:rFonts w:ascii="Times New Roman"/>
                <w:color w:val="000000"/>
                <w:kern w:val="0"/>
                <w:sz w:val="21"/>
                <w:szCs w:val="21"/>
              </w:rPr>
              <w:t>其他资金：</w:t>
            </w:r>
            <w:r>
              <w:rPr>
                <w:rFonts w:hint="eastAsia" w:ascii="Times New Roman"/>
                <w:color w:val="000000"/>
                <w:kern w:val="0"/>
                <w:sz w:val="21"/>
                <w:szCs w:val="21"/>
                <w:lang w:val="en-US" w:eastAsia="zh-CN"/>
              </w:rPr>
              <w:t>196405.27</w:t>
            </w:r>
          </w:p>
        </w:tc>
        <w:tc>
          <w:tcPr>
            <w:tcW w:w="4187" w:type="dxa"/>
            <w:gridSpan w:val="4"/>
            <w:noWrap w:val="0"/>
            <w:vAlign w:val="center"/>
          </w:tcPr>
          <w:p>
            <w:pPr>
              <w:widowControl/>
              <w:jc w:val="left"/>
              <w:rPr>
                <w:rFonts w:ascii="Times New Roman" w:hAns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03" w:type="dxa"/>
            <w:vMerge w:val="restart"/>
            <w:noWrap w:val="0"/>
            <w:vAlign w:val="center"/>
          </w:tcPr>
          <w:p>
            <w:pPr>
              <w:widowControl/>
              <w:jc w:val="center"/>
              <w:rPr>
                <w:rFonts w:hint="eastAsia" w:ascii="Times New Roman"/>
                <w:color w:val="000000"/>
                <w:kern w:val="0"/>
                <w:sz w:val="21"/>
                <w:szCs w:val="21"/>
              </w:rPr>
            </w:pPr>
            <w:r>
              <w:rPr>
                <w:rFonts w:ascii="Times New Roman"/>
                <w:color w:val="000000"/>
                <w:kern w:val="0"/>
                <w:sz w:val="21"/>
                <w:szCs w:val="21"/>
              </w:rPr>
              <w:t>年度总体</w:t>
            </w:r>
          </w:p>
          <w:p>
            <w:pPr>
              <w:widowControl/>
              <w:jc w:val="center"/>
              <w:rPr>
                <w:rFonts w:ascii="Times New Roman" w:hAnsi="Times New Roman"/>
                <w:color w:val="000000"/>
                <w:kern w:val="0"/>
                <w:sz w:val="21"/>
                <w:szCs w:val="21"/>
              </w:rPr>
            </w:pPr>
            <w:r>
              <w:rPr>
                <w:rFonts w:ascii="Times New Roman"/>
                <w:color w:val="000000"/>
                <w:kern w:val="0"/>
                <w:sz w:val="21"/>
                <w:szCs w:val="21"/>
              </w:rPr>
              <w:t>目标</w:t>
            </w:r>
          </w:p>
        </w:tc>
        <w:tc>
          <w:tcPr>
            <w:tcW w:w="4833" w:type="dxa"/>
            <w:gridSpan w:val="5"/>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预期目标</w:t>
            </w:r>
          </w:p>
        </w:tc>
        <w:tc>
          <w:tcPr>
            <w:tcW w:w="4187" w:type="dxa"/>
            <w:gridSpan w:val="4"/>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jc w:val="center"/>
        </w:trPr>
        <w:tc>
          <w:tcPr>
            <w:tcW w:w="1303" w:type="dxa"/>
            <w:vMerge w:val="continue"/>
            <w:noWrap w:val="0"/>
            <w:vAlign w:val="center"/>
          </w:tcPr>
          <w:p>
            <w:pPr>
              <w:widowControl/>
              <w:jc w:val="left"/>
              <w:rPr>
                <w:rFonts w:ascii="Times New Roman" w:hAnsi="Times New Roman"/>
                <w:color w:val="000000"/>
                <w:kern w:val="0"/>
                <w:sz w:val="21"/>
                <w:szCs w:val="21"/>
              </w:rPr>
            </w:pPr>
          </w:p>
        </w:tc>
        <w:tc>
          <w:tcPr>
            <w:tcW w:w="4833" w:type="dxa"/>
            <w:gridSpan w:val="5"/>
            <w:noWrap w:val="0"/>
            <w:vAlign w:val="center"/>
          </w:tcPr>
          <w:p>
            <w:pPr>
              <w:widowControl/>
              <w:jc w:val="center"/>
              <w:rPr>
                <w:rFonts w:hint="default" w:ascii="Times New Roman" w:hAnsi="Times New Roman" w:eastAsia="仿宋_GB2312"/>
                <w:color w:val="000000"/>
                <w:kern w:val="0"/>
                <w:sz w:val="21"/>
                <w:szCs w:val="21"/>
                <w:lang w:val="en-US" w:eastAsia="zh-CN"/>
              </w:rPr>
            </w:pPr>
            <w:r>
              <w:rPr>
                <w:rFonts w:ascii="Times New Roman"/>
                <w:color w:val="000000"/>
                <w:kern w:val="0"/>
                <w:sz w:val="21"/>
                <w:szCs w:val="21"/>
              </w:rPr>
              <w:t>　</w:t>
            </w:r>
            <w:r>
              <w:rPr>
                <w:rFonts w:hint="eastAsia" w:ascii="Times New Roman"/>
                <w:color w:val="000000"/>
                <w:kern w:val="0"/>
                <w:sz w:val="21"/>
                <w:szCs w:val="21"/>
              </w:rPr>
              <w:t>优化区域医疗资源布局，提升中心城区及基层医疗服务能力，推进公立医院高质量发展，储蓄深化医疗卫生体制改革，强化基层诶生服务体系建设，促进基本公共服务均等化、普惠化，强化公共卫生与疾病防控，保障重点人群健康。完成重点指标市妇幼年诊疗人次210000人/次，城镇独生子女父母奖励金发放人数33000人，制备成份血合格率100%，全市结核病的报告发病率下降5%，重点人群及易感染艾滋病危险行为人群防治知识知晓率95%。</w:t>
            </w:r>
          </w:p>
        </w:tc>
        <w:tc>
          <w:tcPr>
            <w:tcW w:w="4187" w:type="dxa"/>
            <w:gridSpan w:val="4"/>
            <w:noWrap w:val="0"/>
            <w:vAlign w:val="center"/>
          </w:tcPr>
          <w:p>
            <w:pPr>
              <w:widowControl/>
              <w:jc w:val="left"/>
              <w:rPr>
                <w:rFonts w:hint="default" w:ascii="Times New Roman" w:hAnsi="Times New Roman" w:eastAsia="仿宋_GB2312"/>
                <w:color w:val="000000"/>
                <w:kern w:val="0"/>
                <w:sz w:val="21"/>
                <w:szCs w:val="21"/>
                <w:lang w:val="en-US" w:eastAsia="zh-CN"/>
              </w:rPr>
            </w:pPr>
            <w:r>
              <w:rPr>
                <w:rFonts w:hint="eastAsia" w:ascii="Times New Roman"/>
                <w:color w:val="000000"/>
                <w:kern w:val="0"/>
                <w:sz w:val="21"/>
                <w:szCs w:val="21"/>
              </w:rPr>
              <w:t>开展市直营养健康食堂建设培训、付减油减盐专项活动、母婴安全保障工作会议、全市视频数字标签推广应用工作培训,市直相关医院完成诊疗人数，按预期完成。完成重点指标市妇幼年诊疗人次236123人/次，城镇独生子女父母奖励金发放人数34605人，制备成份血合格率100%，全市结核病的报告发病率下降5.04%，重点人群及易感染艾滋病危险行为人群防治知识知晓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303"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绩</w:t>
            </w:r>
          </w:p>
          <w:p>
            <w:pPr>
              <w:widowControl/>
              <w:jc w:val="center"/>
              <w:rPr>
                <w:rFonts w:ascii="Times New Roman" w:hAnsi="Times New Roman"/>
                <w:color w:val="000000"/>
                <w:kern w:val="0"/>
                <w:sz w:val="21"/>
                <w:szCs w:val="21"/>
              </w:rPr>
            </w:pPr>
            <w:r>
              <w:rPr>
                <w:rFonts w:ascii="Times New Roman"/>
                <w:color w:val="000000"/>
                <w:kern w:val="0"/>
                <w:sz w:val="21"/>
                <w:szCs w:val="21"/>
              </w:rPr>
              <w:t>效</w:t>
            </w:r>
          </w:p>
          <w:p>
            <w:pPr>
              <w:widowControl/>
              <w:jc w:val="center"/>
              <w:rPr>
                <w:rFonts w:ascii="Times New Roman" w:hAnsi="Times New Roman"/>
                <w:color w:val="000000"/>
                <w:kern w:val="0"/>
                <w:sz w:val="21"/>
                <w:szCs w:val="21"/>
              </w:rPr>
            </w:pPr>
            <w:r>
              <w:rPr>
                <w:rFonts w:ascii="Times New Roman"/>
                <w:color w:val="000000"/>
                <w:kern w:val="0"/>
                <w:sz w:val="21"/>
                <w:szCs w:val="21"/>
              </w:rPr>
              <w:t>指</w:t>
            </w:r>
          </w:p>
          <w:p>
            <w:pPr>
              <w:widowControl/>
              <w:jc w:val="center"/>
              <w:rPr>
                <w:rFonts w:ascii="Times New Roman" w:hAnsi="Times New Roman"/>
                <w:color w:val="000000"/>
                <w:kern w:val="0"/>
                <w:sz w:val="21"/>
                <w:szCs w:val="21"/>
              </w:rPr>
            </w:pPr>
            <w:r>
              <w:rPr>
                <w:rFonts w:ascii="Times New Roman"/>
                <w:color w:val="000000"/>
                <w:kern w:val="0"/>
                <w:sz w:val="21"/>
                <w:szCs w:val="21"/>
              </w:rPr>
              <w:t>标</w:t>
            </w:r>
          </w:p>
        </w:tc>
        <w:tc>
          <w:tcPr>
            <w:tcW w:w="1172" w:type="dxa"/>
            <w:noWrap w:val="0"/>
            <w:vAlign w:val="center"/>
          </w:tcPr>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一级指标</w:t>
            </w:r>
          </w:p>
        </w:tc>
        <w:tc>
          <w:tcPr>
            <w:tcW w:w="1252" w:type="dxa"/>
            <w:noWrap w:val="0"/>
            <w:vAlign w:val="center"/>
          </w:tcPr>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二级指标</w:t>
            </w:r>
          </w:p>
        </w:tc>
        <w:tc>
          <w:tcPr>
            <w:tcW w:w="1209" w:type="dxa"/>
            <w:gridSpan w:val="2"/>
            <w:noWrap w:val="0"/>
            <w:vAlign w:val="center"/>
          </w:tcPr>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三级指标</w:t>
            </w:r>
          </w:p>
        </w:tc>
        <w:tc>
          <w:tcPr>
            <w:tcW w:w="1200" w:type="dxa"/>
            <w:noWrap w:val="0"/>
            <w:vAlign w:val="center"/>
          </w:tcPr>
          <w:p>
            <w:pPr>
              <w:widowControl/>
              <w:spacing w:line="240" w:lineRule="exact"/>
              <w:jc w:val="center"/>
              <w:rPr>
                <w:rFonts w:hint="eastAsia" w:ascii="Times New Roman"/>
                <w:color w:val="000000"/>
                <w:kern w:val="0"/>
                <w:sz w:val="21"/>
                <w:szCs w:val="21"/>
              </w:rPr>
            </w:pPr>
            <w:r>
              <w:rPr>
                <w:rFonts w:asci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指标值</w:t>
            </w:r>
          </w:p>
        </w:tc>
        <w:tc>
          <w:tcPr>
            <w:tcW w:w="1134" w:type="dxa"/>
            <w:noWrap w:val="0"/>
            <w:vAlign w:val="center"/>
          </w:tcPr>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实际</w:t>
            </w:r>
          </w:p>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完成值</w:t>
            </w:r>
          </w:p>
        </w:tc>
        <w:tc>
          <w:tcPr>
            <w:tcW w:w="709" w:type="dxa"/>
            <w:noWrap w:val="0"/>
            <w:vAlign w:val="center"/>
          </w:tcPr>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分值</w:t>
            </w:r>
          </w:p>
        </w:tc>
        <w:tc>
          <w:tcPr>
            <w:tcW w:w="898" w:type="dxa"/>
            <w:noWrap w:val="0"/>
            <w:vAlign w:val="center"/>
          </w:tcPr>
          <w:p>
            <w:pPr>
              <w:widowControl/>
              <w:spacing w:line="240" w:lineRule="exact"/>
              <w:jc w:val="center"/>
              <w:rPr>
                <w:rFonts w:hint="eastAsia" w:ascii="Times New Roman"/>
                <w:color w:val="000000"/>
                <w:kern w:val="0"/>
                <w:sz w:val="21"/>
                <w:szCs w:val="21"/>
              </w:rPr>
            </w:pPr>
            <w:r>
              <w:rPr>
                <w:rFonts w:ascii="Times New Roman"/>
                <w:color w:val="000000"/>
                <w:kern w:val="0"/>
                <w:sz w:val="21"/>
                <w:szCs w:val="21"/>
              </w:rPr>
              <w:t>自评</w:t>
            </w:r>
          </w:p>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得分</w:t>
            </w:r>
          </w:p>
        </w:tc>
        <w:tc>
          <w:tcPr>
            <w:tcW w:w="1446" w:type="dxa"/>
            <w:noWrap w:val="0"/>
            <w:vAlign w:val="top"/>
          </w:tcPr>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偏差原因</w:t>
            </w:r>
          </w:p>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分析及</w:t>
            </w:r>
          </w:p>
          <w:p>
            <w:pPr>
              <w:widowControl/>
              <w:spacing w:line="240" w:lineRule="exact"/>
              <w:jc w:val="center"/>
              <w:rPr>
                <w:rFonts w:ascii="Times New Roman" w:hAnsi="Times New Roman"/>
                <w:color w:val="000000"/>
                <w:kern w:val="0"/>
                <w:sz w:val="21"/>
                <w:szCs w:val="21"/>
              </w:rPr>
            </w:pPr>
            <w:r>
              <w:rPr>
                <w:rFonts w:ascii="Times New Roman"/>
                <w:color w:val="000000"/>
                <w:kern w:val="0"/>
                <w:sz w:val="21"/>
                <w:szCs w:val="21"/>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产出指标</w:t>
            </w:r>
          </w:p>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(50</w:t>
            </w:r>
            <w:r>
              <w:rPr>
                <w:rFonts w:ascii="Times New Roman"/>
                <w:color w:val="000000"/>
                <w:kern w:val="0"/>
                <w:sz w:val="21"/>
                <w:szCs w:val="21"/>
              </w:rPr>
              <w:t>分</w:t>
            </w:r>
            <w:r>
              <w:rPr>
                <w:rFonts w:ascii="Times New Roman" w:hAnsi="Times New Roman"/>
                <w:color w:val="000000"/>
                <w:kern w:val="0"/>
                <w:sz w:val="21"/>
                <w:szCs w:val="21"/>
              </w:rPr>
              <w:t>)</w:t>
            </w:r>
          </w:p>
        </w:tc>
        <w:tc>
          <w:tcPr>
            <w:tcW w:w="1252"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数量指标</w:t>
            </w: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18"/>
                <w:szCs w:val="18"/>
              </w:rPr>
            </w:pPr>
            <w:r>
              <w:rPr>
                <w:rFonts w:hint="eastAsia" w:ascii="仿宋" w:hAnsi="仿宋" w:eastAsia="仿宋" w:cs="仿宋"/>
                <w:i w:val="0"/>
                <w:color w:val="000000"/>
                <w:kern w:val="0"/>
                <w:sz w:val="15"/>
                <w:szCs w:val="15"/>
                <w:u w:val="none"/>
                <w:lang w:val="en-US" w:eastAsia="zh-CN" w:bidi="ar"/>
              </w:rPr>
              <w:t>市妇幼年诊疗人次</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18"/>
                <w:szCs w:val="18"/>
              </w:rPr>
            </w:pPr>
            <w:r>
              <w:rPr>
                <w:rFonts w:hint="default" w:ascii="仿宋_GB2312" w:hAnsi="宋体" w:eastAsia="仿宋_GB2312" w:cs="仿宋_GB2312"/>
                <w:i w:val="0"/>
                <w:color w:val="000000"/>
                <w:kern w:val="0"/>
                <w:sz w:val="15"/>
                <w:szCs w:val="15"/>
                <w:u w:val="none"/>
                <w:lang w:val="en-US" w:eastAsia="zh-CN" w:bidi="ar"/>
              </w:rPr>
              <w:t>210000人/次</w:t>
            </w: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18"/>
                <w:szCs w:val="18"/>
              </w:rPr>
            </w:pPr>
            <w:r>
              <w:rPr>
                <w:rFonts w:hint="default" w:ascii="仿宋_GB2312" w:hAnsi="宋体" w:eastAsia="仿宋_GB2312" w:cs="仿宋_GB2312"/>
                <w:i w:val="0"/>
                <w:color w:val="000000"/>
                <w:kern w:val="0"/>
                <w:sz w:val="15"/>
                <w:szCs w:val="15"/>
                <w:u w:val="none"/>
                <w:lang w:val="en-US" w:eastAsia="zh-CN" w:bidi="ar"/>
              </w:rPr>
              <w:t>236123人/次</w:t>
            </w:r>
          </w:p>
        </w:tc>
        <w:tc>
          <w:tcPr>
            <w:tcW w:w="709" w:type="dxa"/>
            <w:noWrap w:val="0"/>
            <w:vAlign w:val="center"/>
          </w:tcPr>
          <w:p>
            <w:pPr>
              <w:keepNext w:val="0"/>
              <w:keepLines w:val="0"/>
              <w:widowControl/>
              <w:suppressLineNumbers w:val="0"/>
              <w:jc w:val="center"/>
              <w:textAlignment w:val="center"/>
              <w:rPr>
                <w:rFonts w:ascii="Times New Roman" w:hAnsi="Times New Roman"/>
                <w:color w:val="000000"/>
                <w:kern w:val="0"/>
                <w:sz w:val="18"/>
                <w:szCs w:val="18"/>
              </w:rPr>
            </w:pPr>
            <w:r>
              <w:rPr>
                <w:rFonts w:hint="eastAsia" w:ascii="仿宋_GB2312" w:hAnsi="宋体" w:cs="仿宋_GB2312"/>
                <w:i w:val="0"/>
                <w:color w:val="000000"/>
                <w:kern w:val="0"/>
                <w:sz w:val="15"/>
                <w:szCs w:val="15"/>
                <w:u w:val="none"/>
                <w:lang w:val="en-US" w:eastAsia="zh-CN" w:bidi="ar"/>
              </w:rPr>
              <w:t>5</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18"/>
                <w:szCs w:val="18"/>
              </w:rPr>
            </w:pPr>
            <w:r>
              <w:rPr>
                <w:rFonts w:hint="default" w:ascii="仿宋_GB2312" w:hAnsi="宋体" w:eastAsia="仿宋_GB2312" w:cs="仿宋_GB2312"/>
                <w:i w:val="0"/>
                <w:color w:val="000000"/>
                <w:kern w:val="0"/>
                <w:sz w:val="15"/>
                <w:szCs w:val="15"/>
                <w:u w:val="none"/>
                <w:lang w:val="en-US" w:eastAsia="zh-CN" w:bidi="ar"/>
              </w:rPr>
              <w:t>5</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continue"/>
            <w:noWrap w:val="0"/>
            <w:vAlign w:val="center"/>
          </w:tcPr>
          <w:p>
            <w:pPr>
              <w:widowControl/>
              <w:jc w:val="center"/>
              <w:rPr>
                <w:rFonts w:ascii="Times New Roman" w:hAnsi="Times New Roman"/>
                <w:color w:val="000000"/>
                <w:kern w:val="0"/>
                <w:sz w:val="21"/>
                <w:szCs w:val="21"/>
              </w:rPr>
            </w:pP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18"/>
                <w:szCs w:val="18"/>
              </w:rPr>
            </w:pPr>
            <w:r>
              <w:rPr>
                <w:rFonts w:hint="eastAsia" w:ascii="仿宋" w:hAnsi="仿宋" w:eastAsia="仿宋" w:cs="仿宋"/>
                <w:i w:val="0"/>
                <w:color w:val="000000"/>
                <w:kern w:val="0"/>
                <w:sz w:val="15"/>
                <w:szCs w:val="15"/>
                <w:u w:val="none"/>
                <w:lang w:val="en-US" w:eastAsia="zh-CN" w:bidi="ar"/>
              </w:rPr>
              <w:t>城镇独生子女父母奖励金发放人数</w:t>
            </w:r>
          </w:p>
        </w:tc>
        <w:tc>
          <w:tcPr>
            <w:tcW w:w="1200"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18"/>
                <w:szCs w:val="18"/>
                <w:lang w:val="en-US"/>
              </w:rPr>
            </w:pPr>
            <w:r>
              <w:rPr>
                <w:rFonts w:hint="default" w:ascii="仿宋_GB2312" w:hAnsi="宋体" w:eastAsia="仿宋_GB2312" w:cs="仿宋_GB2312"/>
                <w:i w:val="0"/>
                <w:color w:val="000000"/>
                <w:kern w:val="0"/>
                <w:sz w:val="15"/>
                <w:szCs w:val="15"/>
                <w:u w:val="none"/>
                <w:lang w:val="en-US" w:eastAsia="zh-CN" w:bidi="ar"/>
              </w:rPr>
              <w:t>33000</w:t>
            </w:r>
            <w:r>
              <w:rPr>
                <w:rFonts w:hint="eastAsia" w:ascii="仿宋_GB2312" w:hAnsi="宋体" w:cs="仿宋_GB2312"/>
                <w:i w:val="0"/>
                <w:color w:val="000000"/>
                <w:kern w:val="0"/>
                <w:sz w:val="15"/>
                <w:szCs w:val="15"/>
                <w:u w:val="none"/>
                <w:lang w:val="en-US" w:eastAsia="zh-CN" w:bidi="ar"/>
              </w:rPr>
              <w:t>人</w:t>
            </w:r>
          </w:p>
        </w:tc>
        <w:tc>
          <w:tcPr>
            <w:tcW w:w="1134"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18"/>
                <w:szCs w:val="18"/>
                <w:lang w:val="en-US"/>
              </w:rPr>
            </w:pPr>
            <w:r>
              <w:rPr>
                <w:rFonts w:hint="default" w:ascii="仿宋_GB2312" w:hAnsi="宋体" w:eastAsia="仿宋_GB2312" w:cs="仿宋_GB2312"/>
                <w:i w:val="0"/>
                <w:color w:val="000000"/>
                <w:kern w:val="0"/>
                <w:sz w:val="15"/>
                <w:szCs w:val="15"/>
                <w:u w:val="none"/>
                <w:lang w:val="en-US" w:eastAsia="zh-CN" w:bidi="ar"/>
              </w:rPr>
              <w:t>34605</w:t>
            </w:r>
            <w:r>
              <w:rPr>
                <w:rFonts w:hint="eastAsia" w:ascii="仿宋_GB2312" w:hAnsi="宋体" w:cs="仿宋_GB2312"/>
                <w:i w:val="0"/>
                <w:color w:val="000000"/>
                <w:kern w:val="0"/>
                <w:sz w:val="15"/>
                <w:szCs w:val="15"/>
                <w:u w:val="none"/>
                <w:lang w:val="en-US" w:eastAsia="zh-CN" w:bidi="ar"/>
              </w:rPr>
              <w:t>人</w:t>
            </w:r>
          </w:p>
        </w:tc>
        <w:tc>
          <w:tcPr>
            <w:tcW w:w="709" w:type="dxa"/>
            <w:noWrap w:val="0"/>
            <w:vAlign w:val="center"/>
          </w:tcPr>
          <w:p>
            <w:pPr>
              <w:keepNext w:val="0"/>
              <w:keepLines w:val="0"/>
              <w:widowControl/>
              <w:suppressLineNumbers w:val="0"/>
              <w:jc w:val="center"/>
              <w:textAlignment w:val="center"/>
              <w:rPr>
                <w:rFonts w:ascii="Times New Roman" w:hAnsi="Times New Roman"/>
                <w:color w:val="000000"/>
                <w:kern w:val="0"/>
                <w:sz w:val="18"/>
                <w:szCs w:val="18"/>
              </w:rPr>
            </w:pPr>
            <w:r>
              <w:rPr>
                <w:rFonts w:hint="eastAsia" w:ascii="仿宋_GB2312" w:hAnsi="宋体" w:cs="仿宋_GB2312"/>
                <w:i w:val="0"/>
                <w:color w:val="000000"/>
                <w:kern w:val="0"/>
                <w:sz w:val="15"/>
                <w:szCs w:val="15"/>
                <w:u w:val="none"/>
                <w:lang w:val="en-US" w:eastAsia="zh-CN" w:bidi="ar"/>
              </w:rPr>
              <w:t>5</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18"/>
                <w:szCs w:val="18"/>
              </w:rPr>
            </w:pPr>
            <w:r>
              <w:rPr>
                <w:rFonts w:hint="default" w:ascii="仿宋_GB2312" w:hAnsi="宋体" w:eastAsia="仿宋_GB2312" w:cs="仿宋_GB2312"/>
                <w:i w:val="0"/>
                <w:color w:val="000000"/>
                <w:kern w:val="0"/>
                <w:sz w:val="15"/>
                <w:szCs w:val="15"/>
                <w:u w:val="none"/>
                <w:lang w:val="en-US" w:eastAsia="zh-CN" w:bidi="ar"/>
              </w:rPr>
              <w:t>5</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质量指标</w:t>
            </w: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_GB2312" w:hAnsi="宋体" w:eastAsia="仿宋_GB2312" w:cs="仿宋_GB2312"/>
                <w:i w:val="0"/>
                <w:color w:val="000000"/>
                <w:kern w:val="0"/>
                <w:sz w:val="16"/>
                <w:szCs w:val="16"/>
                <w:u w:val="none"/>
                <w:lang w:val="en-US" w:eastAsia="zh-CN" w:bidi="ar"/>
              </w:rPr>
              <w:t>制备成份血合格率100%</w:t>
            </w:r>
          </w:p>
        </w:tc>
        <w:tc>
          <w:tcPr>
            <w:tcW w:w="1200"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100%</w:t>
            </w:r>
          </w:p>
        </w:tc>
        <w:tc>
          <w:tcPr>
            <w:tcW w:w="1134"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000000"/>
                <w:kern w:val="0"/>
                <w:sz w:val="16"/>
                <w:szCs w:val="16"/>
                <w:u w:val="none"/>
                <w:lang w:val="en-US" w:eastAsia="zh-CN" w:bidi="ar"/>
              </w:rPr>
            </w:pPr>
            <w:r>
              <w:rPr>
                <w:rFonts w:hint="eastAsia" w:ascii="仿宋_GB2312" w:hAnsi="宋体" w:eastAsia="仿宋_GB2312" w:cs="仿宋_GB2312"/>
                <w:i w:val="0"/>
                <w:color w:val="000000"/>
                <w:kern w:val="0"/>
                <w:sz w:val="16"/>
                <w:szCs w:val="16"/>
                <w:u w:val="none"/>
                <w:lang w:val="en-US" w:eastAsia="zh-CN" w:bidi="ar"/>
              </w:rPr>
              <w:t>100%</w:t>
            </w:r>
          </w:p>
        </w:tc>
        <w:tc>
          <w:tcPr>
            <w:tcW w:w="709"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20"/>
                <w:szCs w:val="20"/>
                <w:lang w:val="en-US"/>
              </w:rPr>
            </w:pPr>
            <w:r>
              <w:rPr>
                <w:rFonts w:hint="eastAsia" w:ascii="仿宋_GB2312" w:hAnsi="宋体" w:cs="仿宋_GB2312"/>
                <w:i w:val="0"/>
                <w:color w:val="000000"/>
                <w:kern w:val="0"/>
                <w:sz w:val="16"/>
                <w:szCs w:val="16"/>
                <w:u w:val="none"/>
                <w:lang w:val="en-US" w:eastAsia="zh-CN" w:bidi="ar"/>
              </w:rPr>
              <w:t>10</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10</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continue"/>
            <w:noWrap w:val="0"/>
            <w:vAlign w:val="center"/>
          </w:tcPr>
          <w:p>
            <w:pPr>
              <w:widowControl/>
              <w:jc w:val="center"/>
              <w:rPr>
                <w:rFonts w:ascii="Times New Roman" w:hAnsi="Times New Roman"/>
                <w:color w:val="000000"/>
                <w:kern w:val="0"/>
                <w:sz w:val="21"/>
                <w:szCs w:val="21"/>
              </w:rPr>
            </w:pP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 w:hAnsi="仿宋" w:eastAsia="仿宋" w:cs="仿宋"/>
                <w:i w:val="0"/>
                <w:color w:val="000000"/>
                <w:kern w:val="0"/>
                <w:sz w:val="16"/>
                <w:szCs w:val="16"/>
                <w:u w:val="none"/>
                <w:lang w:val="en-US" w:eastAsia="zh-CN" w:bidi="ar"/>
              </w:rPr>
              <w:t>符合条件申报对象覆盖率</w:t>
            </w:r>
          </w:p>
        </w:tc>
        <w:tc>
          <w:tcPr>
            <w:tcW w:w="1200" w:type="dxa"/>
            <w:noWrap w:val="0"/>
            <w:vAlign w:val="center"/>
          </w:tcPr>
          <w:p>
            <w:pPr>
              <w:keepNext w:val="0"/>
              <w:keepLines w:val="0"/>
              <w:widowControl/>
              <w:suppressLineNumbers w:val="0"/>
              <w:jc w:val="center"/>
              <w:textAlignment w:val="center"/>
              <w:rPr>
                <w:rFonts w:asci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100%</w:t>
            </w:r>
          </w:p>
        </w:tc>
        <w:tc>
          <w:tcPr>
            <w:tcW w:w="1134" w:type="dxa"/>
            <w:noWrap w:val="0"/>
            <w:vAlign w:val="center"/>
          </w:tcPr>
          <w:p>
            <w:pPr>
              <w:keepNext w:val="0"/>
              <w:keepLines w:val="0"/>
              <w:widowControl/>
              <w:suppressLineNumbers w:val="0"/>
              <w:jc w:val="center"/>
              <w:textAlignment w:val="center"/>
              <w:rPr>
                <w:rFonts w:asci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100%</w:t>
            </w:r>
          </w:p>
        </w:tc>
        <w:tc>
          <w:tcPr>
            <w:tcW w:w="709" w:type="dxa"/>
            <w:noWrap w:val="0"/>
            <w:vAlign w:val="center"/>
          </w:tcPr>
          <w:p>
            <w:pPr>
              <w:keepNext w:val="0"/>
              <w:keepLines w:val="0"/>
              <w:widowControl/>
              <w:suppressLineNumbers w:val="0"/>
              <w:jc w:val="center"/>
              <w:textAlignment w:val="center"/>
              <w:rPr>
                <w:rFonts w:ascii="Times New Roman"/>
                <w:color w:val="000000"/>
                <w:kern w:val="0"/>
                <w:sz w:val="20"/>
                <w:szCs w:val="20"/>
              </w:rPr>
            </w:pPr>
            <w:r>
              <w:rPr>
                <w:rFonts w:hint="eastAsia" w:ascii="仿宋_GB2312" w:hAnsi="宋体" w:cs="仿宋_GB2312"/>
                <w:i w:val="0"/>
                <w:color w:val="000000"/>
                <w:kern w:val="0"/>
                <w:sz w:val="16"/>
                <w:szCs w:val="16"/>
                <w:u w:val="none"/>
                <w:lang w:val="en-US" w:eastAsia="zh-CN" w:bidi="ar"/>
              </w:rPr>
              <w:t>5</w:t>
            </w:r>
          </w:p>
        </w:tc>
        <w:tc>
          <w:tcPr>
            <w:tcW w:w="898" w:type="dxa"/>
            <w:noWrap w:val="0"/>
            <w:vAlign w:val="center"/>
          </w:tcPr>
          <w:p>
            <w:pPr>
              <w:keepNext w:val="0"/>
              <w:keepLines w:val="0"/>
              <w:widowControl/>
              <w:suppressLineNumbers w:val="0"/>
              <w:jc w:val="center"/>
              <w:textAlignment w:val="center"/>
              <w:rPr>
                <w:rFonts w:asci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5</w:t>
            </w:r>
          </w:p>
        </w:tc>
        <w:tc>
          <w:tcPr>
            <w:tcW w:w="1446" w:type="dxa"/>
            <w:noWrap w:val="0"/>
            <w:vAlign w:val="center"/>
          </w:tcPr>
          <w:p>
            <w:pPr>
              <w:widowControl/>
              <w:jc w:val="left"/>
              <w:rPr>
                <w:rFonts w:asci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continue"/>
            <w:noWrap w:val="0"/>
            <w:vAlign w:val="center"/>
          </w:tcPr>
          <w:p>
            <w:pPr>
              <w:widowControl/>
              <w:jc w:val="center"/>
              <w:rPr>
                <w:rFonts w:ascii="Times New Roman" w:hAnsi="Times New Roman"/>
                <w:color w:val="000000"/>
                <w:kern w:val="0"/>
                <w:sz w:val="21"/>
                <w:szCs w:val="21"/>
              </w:rPr>
            </w:pP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 w:hAnsi="仿宋" w:eastAsia="仿宋" w:cs="仿宋"/>
                <w:i w:val="0"/>
                <w:color w:val="000000"/>
                <w:kern w:val="0"/>
                <w:sz w:val="16"/>
                <w:szCs w:val="16"/>
                <w:u w:val="none"/>
                <w:lang w:val="en-US" w:eastAsia="zh-CN" w:bidi="ar"/>
              </w:rPr>
              <w:t>全市结核病的报告发病率下降</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≥5%</w:t>
            </w: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5.04%</w:t>
            </w:r>
          </w:p>
        </w:tc>
        <w:tc>
          <w:tcPr>
            <w:tcW w:w="709"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_GB2312" w:hAnsi="宋体" w:cs="仿宋_GB2312"/>
                <w:i w:val="0"/>
                <w:color w:val="000000"/>
                <w:kern w:val="0"/>
                <w:sz w:val="16"/>
                <w:szCs w:val="16"/>
                <w:u w:val="none"/>
                <w:lang w:val="en-US" w:eastAsia="zh-CN" w:bidi="ar"/>
              </w:rPr>
              <w:t>5</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5</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时效指标</w:t>
            </w: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 w:hAnsi="仿宋" w:eastAsia="仿宋" w:cs="仿宋"/>
                <w:i w:val="0"/>
                <w:color w:val="000000"/>
                <w:kern w:val="0"/>
                <w:sz w:val="16"/>
                <w:szCs w:val="16"/>
                <w:u w:val="none"/>
                <w:lang w:val="en-US" w:eastAsia="zh-CN" w:bidi="ar"/>
              </w:rPr>
              <w:t>奖励扶助资金按时发放到位率</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2025年12月底前</w:t>
            </w: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2025年12月底前</w:t>
            </w:r>
          </w:p>
        </w:tc>
        <w:tc>
          <w:tcPr>
            <w:tcW w:w="709"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_GB2312" w:hAnsi="宋体" w:cs="仿宋_GB2312"/>
                <w:i w:val="0"/>
                <w:color w:val="000000"/>
                <w:kern w:val="0"/>
                <w:sz w:val="16"/>
                <w:szCs w:val="16"/>
                <w:u w:val="none"/>
                <w:lang w:val="en-US" w:eastAsia="zh-CN" w:bidi="ar"/>
              </w:rPr>
              <w:t>5</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5</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continue"/>
            <w:noWrap w:val="0"/>
            <w:vAlign w:val="center"/>
          </w:tcPr>
          <w:p>
            <w:pPr>
              <w:widowControl/>
              <w:jc w:val="center"/>
              <w:rPr>
                <w:rFonts w:ascii="Times New Roman" w:hAnsi="Times New Roman"/>
                <w:color w:val="000000"/>
                <w:kern w:val="0"/>
                <w:sz w:val="21"/>
                <w:szCs w:val="21"/>
              </w:rPr>
            </w:pP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 w:hAnsi="仿宋" w:eastAsia="仿宋" w:cs="仿宋"/>
                <w:i w:val="0"/>
                <w:color w:val="000000"/>
                <w:kern w:val="0"/>
                <w:sz w:val="16"/>
                <w:szCs w:val="16"/>
                <w:u w:val="none"/>
                <w:lang w:val="en-US" w:eastAsia="zh-CN" w:bidi="ar"/>
              </w:rPr>
              <w:t>各项工作按年度计划完成时限</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2025年12月底前</w:t>
            </w: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2025年12月底前</w:t>
            </w:r>
          </w:p>
        </w:tc>
        <w:tc>
          <w:tcPr>
            <w:tcW w:w="709"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_GB2312" w:hAnsi="宋体" w:cs="仿宋_GB2312"/>
                <w:i w:val="0"/>
                <w:color w:val="000000"/>
                <w:kern w:val="0"/>
                <w:sz w:val="16"/>
                <w:szCs w:val="16"/>
                <w:u w:val="none"/>
                <w:lang w:val="en-US" w:eastAsia="zh-CN" w:bidi="ar"/>
              </w:rPr>
              <w:t>5</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5</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成本指标</w:t>
            </w: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 w:hAnsi="仿宋" w:eastAsia="仿宋" w:cs="仿宋"/>
                <w:i w:val="0"/>
                <w:color w:val="000000"/>
                <w:kern w:val="0"/>
                <w:sz w:val="16"/>
                <w:szCs w:val="16"/>
                <w:u w:val="none"/>
                <w:lang w:val="en-US" w:eastAsia="zh-CN" w:bidi="ar"/>
              </w:rPr>
              <w:t>城镇独生子女父母奖励发放标准</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960元/人/年或一次性5000元</w:t>
            </w: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960元/人/年或一次性5000元</w:t>
            </w:r>
          </w:p>
        </w:tc>
        <w:tc>
          <w:tcPr>
            <w:tcW w:w="709"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_GB2312" w:hAnsi="宋体" w:cs="仿宋_GB2312"/>
                <w:i w:val="0"/>
                <w:color w:val="000000"/>
                <w:kern w:val="0"/>
                <w:sz w:val="16"/>
                <w:szCs w:val="16"/>
                <w:u w:val="none"/>
                <w:lang w:val="en-US" w:eastAsia="zh-CN" w:bidi="ar"/>
              </w:rPr>
              <w:t>5</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5</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widowControl/>
              <w:jc w:val="left"/>
              <w:rPr>
                <w:rFonts w:ascii="Times New Roman" w:hAnsi="Times New Roman"/>
                <w:color w:val="000000"/>
                <w:kern w:val="0"/>
                <w:sz w:val="21"/>
                <w:szCs w:val="21"/>
              </w:rPr>
            </w:pPr>
          </w:p>
        </w:tc>
        <w:tc>
          <w:tcPr>
            <w:tcW w:w="1252" w:type="dxa"/>
            <w:vMerge w:val="continue"/>
            <w:noWrap w:val="0"/>
            <w:vAlign w:val="center"/>
          </w:tcPr>
          <w:p>
            <w:pPr>
              <w:widowControl/>
              <w:jc w:val="left"/>
              <w:rPr>
                <w:rFonts w:ascii="Times New Roman" w:hAnsi="Times New Roman"/>
                <w:color w:val="000000"/>
                <w:kern w:val="0"/>
                <w:sz w:val="21"/>
                <w:szCs w:val="21"/>
              </w:rPr>
            </w:pP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 w:hAnsi="仿宋" w:eastAsia="仿宋" w:cs="仿宋"/>
                <w:i w:val="0"/>
                <w:color w:val="000000"/>
                <w:kern w:val="0"/>
                <w:sz w:val="16"/>
                <w:szCs w:val="16"/>
                <w:u w:val="none"/>
                <w:lang w:val="en-US" w:eastAsia="zh-CN" w:bidi="ar"/>
              </w:rPr>
              <w:t>经费控制在预算范围内</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经费控制在预算范围内</w:t>
            </w: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经费控制在预算范围内</w:t>
            </w:r>
          </w:p>
        </w:tc>
        <w:tc>
          <w:tcPr>
            <w:tcW w:w="709"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eastAsia" w:ascii="仿宋_GB2312" w:hAnsi="宋体" w:cs="仿宋_GB2312"/>
                <w:i w:val="0"/>
                <w:color w:val="000000"/>
                <w:kern w:val="0"/>
                <w:sz w:val="16"/>
                <w:szCs w:val="16"/>
                <w:u w:val="none"/>
                <w:lang w:val="en-US" w:eastAsia="zh-CN" w:bidi="ar"/>
              </w:rPr>
              <w:t>5</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r>
              <w:rPr>
                <w:rFonts w:hint="default" w:ascii="仿宋_GB2312" w:hAnsi="宋体" w:eastAsia="仿宋_GB2312" w:cs="仿宋_GB2312"/>
                <w:i w:val="0"/>
                <w:color w:val="000000"/>
                <w:kern w:val="0"/>
                <w:sz w:val="16"/>
                <w:szCs w:val="16"/>
                <w:u w:val="none"/>
                <w:lang w:val="en-US" w:eastAsia="zh-CN" w:bidi="ar"/>
              </w:rPr>
              <w:t>5</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效益指标</w:t>
            </w:r>
          </w:p>
          <w:p>
            <w:pPr>
              <w:widowControl/>
              <w:ind w:firstLine="210" w:firstLineChars="100"/>
              <w:jc w:val="left"/>
              <w:rPr>
                <w:rFonts w:ascii="Times New Roman" w:hAnsi="Times New Roman"/>
                <w:color w:val="000000"/>
                <w:kern w:val="0"/>
                <w:sz w:val="21"/>
                <w:szCs w:val="21"/>
              </w:rPr>
            </w:pPr>
            <w:r>
              <w:rPr>
                <w:rFonts w:ascii="Times New Roman"/>
                <w:color w:val="000000"/>
                <w:kern w:val="0"/>
                <w:sz w:val="21"/>
                <w:szCs w:val="21"/>
              </w:rPr>
              <w:t>（</w:t>
            </w:r>
            <w:r>
              <w:rPr>
                <w:rFonts w:ascii="Times New Roman" w:hAnsi="Times New Roman"/>
                <w:color w:val="000000"/>
                <w:kern w:val="0"/>
                <w:sz w:val="21"/>
                <w:szCs w:val="21"/>
              </w:rPr>
              <w:t>30</w:t>
            </w:r>
            <w:r>
              <w:rPr>
                <w:rFonts w:ascii="Times New Roman"/>
                <w:color w:val="000000"/>
                <w:kern w:val="0"/>
                <w:sz w:val="21"/>
                <w:szCs w:val="21"/>
              </w:rPr>
              <w:t>分）　</w:t>
            </w:r>
          </w:p>
        </w:tc>
        <w:tc>
          <w:tcPr>
            <w:tcW w:w="1252" w:type="dxa"/>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经济效</w:t>
            </w:r>
          </w:p>
          <w:p>
            <w:pPr>
              <w:widowControl/>
              <w:ind w:firstLine="210" w:firstLineChars="100"/>
              <w:rPr>
                <w:rFonts w:ascii="Times New Roman" w:hAnsi="Times New Roman"/>
                <w:color w:val="000000"/>
                <w:kern w:val="0"/>
                <w:sz w:val="21"/>
                <w:szCs w:val="21"/>
              </w:rPr>
            </w:pPr>
            <w:r>
              <w:rPr>
                <w:rFonts w:ascii="Times New Roman"/>
                <w:color w:val="000000"/>
                <w:kern w:val="0"/>
                <w:sz w:val="21"/>
                <w:szCs w:val="21"/>
              </w:rPr>
              <w:t>益指标</w:t>
            </w:r>
          </w:p>
        </w:tc>
        <w:tc>
          <w:tcPr>
            <w:tcW w:w="1209" w:type="dxa"/>
            <w:gridSpan w:val="2"/>
            <w:noWrap w:val="0"/>
            <w:vAlign w:val="center"/>
          </w:tcPr>
          <w:p>
            <w:pPr>
              <w:keepNext w:val="0"/>
              <w:keepLines w:val="0"/>
              <w:widowControl/>
              <w:suppressLineNumbers w:val="0"/>
              <w:jc w:val="center"/>
              <w:textAlignment w:val="center"/>
              <w:rPr>
                <w:rFonts w:hint="eastAsia" w:ascii="Times New Roman" w:hAnsi="Times New Roman" w:eastAsia="仿宋_GB2312"/>
                <w:color w:val="000000"/>
                <w:kern w:val="0"/>
                <w:sz w:val="20"/>
                <w:szCs w:val="20"/>
                <w:lang w:val="en-US" w:eastAsia="zh-CN"/>
              </w:rPr>
            </w:pPr>
            <w:r>
              <w:rPr>
                <w:rFonts w:hint="eastAsia" w:ascii="Times New Roman" w:hAnsi="Times New Roman"/>
                <w:color w:val="000000"/>
                <w:kern w:val="0"/>
                <w:sz w:val="20"/>
                <w:szCs w:val="20"/>
                <w:lang w:val="en-US" w:eastAsia="zh-CN"/>
              </w:rPr>
              <w:t>不适用</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p>
        </w:tc>
        <w:tc>
          <w:tcPr>
            <w:tcW w:w="709"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0"/>
                <w:szCs w:val="20"/>
              </w:rPr>
            </w:pP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社会效</w:t>
            </w:r>
          </w:p>
          <w:p>
            <w:pPr>
              <w:widowControl/>
              <w:jc w:val="center"/>
              <w:rPr>
                <w:rFonts w:ascii="Times New Roman" w:hAnsi="Times New Roman"/>
                <w:color w:val="000000"/>
                <w:kern w:val="0"/>
                <w:sz w:val="21"/>
                <w:szCs w:val="21"/>
              </w:rPr>
            </w:pPr>
            <w:r>
              <w:rPr>
                <w:rFonts w:ascii="Times New Roman"/>
                <w:color w:val="000000"/>
                <w:kern w:val="0"/>
                <w:sz w:val="21"/>
                <w:szCs w:val="21"/>
              </w:rPr>
              <w:t>益指标</w:t>
            </w:r>
          </w:p>
        </w:tc>
        <w:tc>
          <w:tcPr>
            <w:tcW w:w="1209" w:type="dxa"/>
            <w:gridSpan w:val="2"/>
            <w:noWrap w:val="0"/>
            <w:vAlign w:val="center"/>
          </w:tcPr>
          <w:p>
            <w:pPr>
              <w:keepNext w:val="0"/>
              <w:keepLines w:val="0"/>
              <w:widowControl/>
              <w:suppressLineNumbers w:val="0"/>
              <w:jc w:val="center"/>
              <w:textAlignment w:val="center"/>
              <w:rPr>
                <w:rFonts w:hint="eastAsia" w:ascii="Times New Roman" w:hAnsi="Times New Roman" w:eastAsia="仿宋_GB2312"/>
                <w:color w:val="000000"/>
                <w:kern w:val="0"/>
                <w:sz w:val="21"/>
                <w:szCs w:val="21"/>
                <w:lang w:val="en-US" w:eastAsia="zh-CN"/>
              </w:rPr>
            </w:pPr>
            <w:r>
              <w:rPr>
                <w:rFonts w:hint="eastAsia" w:ascii="仿宋" w:hAnsi="仿宋" w:eastAsia="仿宋" w:cs="仿宋"/>
                <w:i w:val="0"/>
                <w:color w:val="000000"/>
                <w:kern w:val="0"/>
                <w:sz w:val="16"/>
                <w:szCs w:val="16"/>
                <w:u w:val="none"/>
                <w:lang w:val="en-US" w:eastAsia="zh-CN" w:bidi="ar"/>
              </w:rPr>
              <w:t>重点人群及易感染艾滋病危险行为人群防治知识知晓率</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default" w:ascii="仿宋_GB2312" w:hAnsi="宋体" w:eastAsia="仿宋_GB2312" w:cs="仿宋_GB2312"/>
                <w:i w:val="0"/>
                <w:color w:val="000000"/>
                <w:kern w:val="0"/>
                <w:sz w:val="16"/>
                <w:szCs w:val="16"/>
                <w:u w:val="none"/>
                <w:lang w:val="en-US" w:eastAsia="zh-CN" w:bidi="ar"/>
              </w:rPr>
              <w:t>知晓率达到95%</w:t>
            </w: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default" w:ascii="仿宋_GB2312" w:hAnsi="宋体" w:eastAsia="仿宋_GB2312" w:cs="仿宋_GB2312"/>
                <w:i w:val="0"/>
                <w:color w:val="000000"/>
                <w:kern w:val="0"/>
                <w:sz w:val="16"/>
                <w:szCs w:val="16"/>
                <w:u w:val="none"/>
                <w:lang w:val="en-US" w:eastAsia="zh-CN" w:bidi="ar"/>
              </w:rPr>
              <w:t>知晓率达到95%</w:t>
            </w:r>
          </w:p>
        </w:tc>
        <w:tc>
          <w:tcPr>
            <w:tcW w:w="709"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21"/>
                <w:szCs w:val="21"/>
                <w:lang w:val="en-US"/>
              </w:rPr>
            </w:pPr>
            <w:r>
              <w:rPr>
                <w:rFonts w:hint="eastAsia" w:ascii="仿宋_GB2312" w:hAnsi="宋体" w:cs="仿宋_GB2312"/>
                <w:i w:val="0"/>
                <w:color w:val="000000"/>
                <w:kern w:val="0"/>
                <w:sz w:val="16"/>
                <w:szCs w:val="16"/>
                <w:u w:val="none"/>
                <w:lang w:val="en-US" w:eastAsia="zh-CN" w:bidi="ar"/>
              </w:rPr>
              <w:t>10</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default" w:ascii="仿宋_GB2312" w:hAnsi="宋体" w:eastAsia="仿宋_GB2312" w:cs="仿宋_GB2312"/>
                <w:i w:val="0"/>
                <w:color w:val="000000"/>
                <w:kern w:val="0"/>
                <w:sz w:val="16"/>
                <w:szCs w:val="16"/>
                <w:u w:val="none"/>
                <w:lang w:val="en-US" w:eastAsia="zh-CN" w:bidi="ar"/>
              </w:rPr>
              <w:t>10</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continue"/>
            <w:noWrap w:val="0"/>
            <w:vAlign w:val="center"/>
          </w:tcPr>
          <w:p>
            <w:pPr>
              <w:widowControl/>
              <w:jc w:val="center"/>
              <w:rPr>
                <w:rFonts w:ascii="Times New Roman"/>
                <w:color w:val="000000"/>
                <w:kern w:val="0"/>
                <w:sz w:val="21"/>
                <w:szCs w:val="21"/>
              </w:rPr>
            </w:pPr>
          </w:p>
        </w:tc>
        <w:tc>
          <w:tcPr>
            <w:tcW w:w="1209" w:type="dxa"/>
            <w:gridSpan w:val="2"/>
            <w:noWrap w:val="0"/>
            <w:vAlign w:val="center"/>
          </w:tcPr>
          <w:p>
            <w:pPr>
              <w:keepNext w:val="0"/>
              <w:keepLines w:val="0"/>
              <w:widowControl/>
              <w:suppressLineNumbers w:val="0"/>
              <w:jc w:val="center"/>
              <w:textAlignment w:val="center"/>
              <w:rPr>
                <w:rFonts w:hint="eastAsia" w:ascii="Times New Roman" w:hAnsi="Times New Roman"/>
                <w:color w:val="000000"/>
                <w:kern w:val="0"/>
                <w:sz w:val="21"/>
                <w:szCs w:val="21"/>
                <w:lang w:val="en-US" w:eastAsia="zh-CN"/>
              </w:rPr>
            </w:pPr>
            <w:r>
              <w:rPr>
                <w:rFonts w:hint="eastAsia" w:ascii="仿宋" w:hAnsi="仿宋" w:eastAsia="仿宋" w:cs="仿宋"/>
                <w:i w:val="0"/>
                <w:color w:val="000000"/>
                <w:kern w:val="0"/>
                <w:sz w:val="16"/>
                <w:szCs w:val="16"/>
                <w:u w:val="none"/>
                <w:lang w:val="en-US" w:eastAsia="zh-CN" w:bidi="ar"/>
              </w:rPr>
              <w:t>孕产妇免费产前筛查</w:t>
            </w:r>
          </w:p>
        </w:tc>
        <w:tc>
          <w:tcPr>
            <w:tcW w:w="1200" w:type="dxa"/>
            <w:noWrap w:val="0"/>
            <w:vAlign w:val="center"/>
          </w:tcPr>
          <w:p>
            <w:pPr>
              <w:keepNext w:val="0"/>
              <w:keepLines w:val="0"/>
              <w:widowControl/>
              <w:suppressLineNumbers w:val="0"/>
              <w:jc w:val="center"/>
              <w:textAlignment w:val="center"/>
              <w:rPr>
                <w:rFonts w:ascii="Times New Roman"/>
                <w:color w:val="000000"/>
                <w:kern w:val="0"/>
                <w:sz w:val="21"/>
                <w:szCs w:val="21"/>
              </w:rPr>
            </w:pPr>
            <w:r>
              <w:rPr>
                <w:rFonts w:hint="default" w:ascii="仿宋_GB2312" w:hAnsi="宋体" w:eastAsia="仿宋_GB2312" w:cs="仿宋_GB2312"/>
                <w:i w:val="0"/>
                <w:color w:val="000000"/>
                <w:kern w:val="0"/>
                <w:sz w:val="16"/>
                <w:szCs w:val="16"/>
                <w:u w:val="none"/>
                <w:lang w:val="en-US" w:eastAsia="zh-CN" w:bidi="ar"/>
              </w:rPr>
              <w:t>减少出生缺陷发生风险</w:t>
            </w:r>
          </w:p>
        </w:tc>
        <w:tc>
          <w:tcPr>
            <w:tcW w:w="1134" w:type="dxa"/>
            <w:noWrap w:val="0"/>
            <w:vAlign w:val="center"/>
          </w:tcPr>
          <w:p>
            <w:pPr>
              <w:keepNext w:val="0"/>
              <w:keepLines w:val="0"/>
              <w:widowControl/>
              <w:suppressLineNumbers w:val="0"/>
              <w:jc w:val="center"/>
              <w:textAlignment w:val="center"/>
              <w:rPr>
                <w:rFonts w:ascii="Times New Roman"/>
                <w:color w:val="000000"/>
                <w:kern w:val="0"/>
                <w:sz w:val="21"/>
                <w:szCs w:val="21"/>
              </w:rPr>
            </w:pPr>
            <w:r>
              <w:rPr>
                <w:rFonts w:hint="default" w:ascii="仿宋_GB2312" w:hAnsi="宋体" w:eastAsia="仿宋_GB2312" w:cs="仿宋_GB2312"/>
                <w:i w:val="0"/>
                <w:color w:val="000000"/>
                <w:kern w:val="0"/>
                <w:sz w:val="16"/>
                <w:szCs w:val="16"/>
                <w:u w:val="none"/>
                <w:lang w:val="en-US" w:eastAsia="zh-CN" w:bidi="ar"/>
              </w:rPr>
              <w:t>减少出生缺陷发生风险</w:t>
            </w:r>
          </w:p>
        </w:tc>
        <w:tc>
          <w:tcPr>
            <w:tcW w:w="709" w:type="dxa"/>
            <w:noWrap w:val="0"/>
            <w:vAlign w:val="center"/>
          </w:tcPr>
          <w:p>
            <w:pPr>
              <w:keepNext w:val="0"/>
              <w:keepLines w:val="0"/>
              <w:widowControl/>
              <w:suppressLineNumbers w:val="0"/>
              <w:jc w:val="center"/>
              <w:textAlignment w:val="center"/>
              <w:rPr>
                <w:rFonts w:hint="default" w:ascii="Times New Roman"/>
                <w:color w:val="000000"/>
                <w:kern w:val="0"/>
                <w:sz w:val="21"/>
                <w:szCs w:val="21"/>
                <w:lang w:val="en-US"/>
              </w:rPr>
            </w:pPr>
            <w:r>
              <w:rPr>
                <w:rFonts w:hint="eastAsia" w:ascii="仿宋_GB2312" w:hAnsi="宋体" w:cs="仿宋_GB2312"/>
                <w:i w:val="0"/>
                <w:color w:val="000000"/>
                <w:kern w:val="0"/>
                <w:sz w:val="16"/>
                <w:szCs w:val="16"/>
                <w:u w:val="none"/>
                <w:lang w:val="en-US" w:eastAsia="zh-CN" w:bidi="ar"/>
              </w:rPr>
              <w:t>10</w:t>
            </w:r>
          </w:p>
        </w:tc>
        <w:tc>
          <w:tcPr>
            <w:tcW w:w="898" w:type="dxa"/>
            <w:noWrap w:val="0"/>
            <w:vAlign w:val="center"/>
          </w:tcPr>
          <w:p>
            <w:pPr>
              <w:keepNext w:val="0"/>
              <w:keepLines w:val="0"/>
              <w:widowControl/>
              <w:suppressLineNumbers w:val="0"/>
              <w:jc w:val="center"/>
              <w:textAlignment w:val="center"/>
              <w:rPr>
                <w:rFonts w:ascii="Times New Roman"/>
                <w:color w:val="000000"/>
                <w:kern w:val="0"/>
                <w:sz w:val="21"/>
                <w:szCs w:val="21"/>
              </w:rPr>
            </w:pPr>
            <w:r>
              <w:rPr>
                <w:rFonts w:hint="default" w:ascii="仿宋_GB2312" w:hAnsi="宋体" w:eastAsia="仿宋_GB2312" w:cs="仿宋_GB2312"/>
                <w:i w:val="0"/>
                <w:color w:val="000000"/>
                <w:kern w:val="0"/>
                <w:sz w:val="16"/>
                <w:szCs w:val="16"/>
                <w:u w:val="none"/>
                <w:lang w:val="en-US" w:eastAsia="zh-CN" w:bidi="ar"/>
              </w:rPr>
              <w:t>10</w:t>
            </w:r>
          </w:p>
        </w:tc>
        <w:tc>
          <w:tcPr>
            <w:tcW w:w="1446" w:type="dxa"/>
            <w:noWrap w:val="0"/>
            <w:vAlign w:val="center"/>
          </w:tcPr>
          <w:p>
            <w:pPr>
              <w:widowControl/>
              <w:jc w:val="left"/>
              <w:rPr>
                <w:rFonts w:ascii="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continue"/>
            <w:noWrap w:val="0"/>
            <w:vAlign w:val="center"/>
          </w:tcPr>
          <w:p>
            <w:pPr>
              <w:widowControl/>
              <w:jc w:val="center"/>
              <w:rPr>
                <w:rFonts w:ascii="Times New Roman" w:hAnsi="Times New Roman"/>
                <w:color w:val="000000"/>
                <w:kern w:val="0"/>
                <w:sz w:val="21"/>
                <w:szCs w:val="21"/>
              </w:rPr>
            </w:pPr>
          </w:p>
        </w:tc>
        <w:tc>
          <w:tcPr>
            <w:tcW w:w="1209"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olor w:val="000000"/>
                <w:kern w:val="0"/>
                <w:sz w:val="21"/>
                <w:szCs w:val="21"/>
                <w:lang w:val="en-US" w:eastAsia="zh-CN"/>
              </w:rPr>
            </w:pPr>
            <w:r>
              <w:rPr>
                <w:rFonts w:hint="eastAsia" w:ascii="仿宋" w:hAnsi="仿宋" w:eastAsia="仿宋" w:cs="仿宋"/>
                <w:i w:val="0"/>
                <w:color w:val="000000"/>
                <w:kern w:val="0"/>
                <w:sz w:val="16"/>
                <w:szCs w:val="16"/>
                <w:u w:val="none"/>
                <w:lang w:val="en-US" w:eastAsia="zh-CN" w:bidi="ar"/>
              </w:rPr>
              <w:t>基本公卫相关知识普及率</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default" w:ascii="仿宋_GB2312" w:hAnsi="宋体" w:eastAsia="仿宋_GB2312" w:cs="仿宋_GB2312"/>
                <w:i w:val="0"/>
                <w:color w:val="000000"/>
                <w:kern w:val="0"/>
                <w:sz w:val="16"/>
                <w:szCs w:val="16"/>
                <w:u w:val="none"/>
                <w:lang w:val="en-US" w:eastAsia="zh-CN" w:bidi="ar"/>
              </w:rPr>
              <w:t>知晓率达到95%</w:t>
            </w: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default" w:ascii="仿宋_GB2312" w:hAnsi="宋体" w:eastAsia="仿宋_GB2312" w:cs="仿宋_GB2312"/>
                <w:i w:val="0"/>
                <w:color w:val="000000"/>
                <w:kern w:val="0"/>
                <w:sz w:val="16"/>
                <w:szCs w:val="16"/>
                <w:u w:val="none"/>
                <w:lang w:val="en-US" w:eastAsia="zh-CN" w:bidi="ar"/>
              </w:rPr>
              <w:t>知晓率达到95%</w:t>
            </w:r>
          </w:p>
        </w:tc>
        <w:tc>
          <w:tcPr>
            <w:tcW w:w="709"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21"/>
                <w:szCs w:val="21"/>
                <w:lang w:val="en-US"/>
              </w:rPr>
            </w:pPr>
            <w:r>
              <w:rPr>
                <w:rFonts w:hint="eastAsia" w:ascii="仿宋_GB2312" w:hAnsi="宋体" w:cs="仿宋_GB2312"/>
                <w:i w:val="0"/>
                <w:color w:val="000000"/>
                <w:kern w:val="0"/>
                <w:sz w:val="16"/>
                <w:szCs w:val="16"/>
                <w:u w:val="none"/>
                <w:lang w:val="en-US" w:eastAsia="zh-CN" w:bidi="ar"/>
              </w:rPr>
              <w:t>10</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default" w:ascii="仿宋_GB2312" w:hAnsi="宋体" w:eastAsia="仿宋_GB2312" w:cs="仿宋_GB2312"/>
                <w:i w:val="0"/>
                <w:color w:val="000000"/>
                <w:kern w:val="0"/>
                <w:sz w:val="16"/>
                <w:szCs w:val="16"/>
                <w:u w:val="none"/>
                <w:lang w:val="en-US" w:eastAsia="zh-CN" w:bidi="ar"/>
              </w:rPr>
              <w:t>10</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restart"/>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生态效</w:t>
            </w:r>
          </w:p>
          <w:p>
            <w:pPr>
              <w:widowControl/>
              <w:jc w:val="center"/>
              <w:rPr>
                <w:rFonts w:ascii="Times New Roman" w:hAnsi="Times New Roman"/>
                <w:color w:val="000000"/>
                <w:kern w:val="0"/>
                <w:sz w:val="21"/>
                <w:szCs w:val="21"/>
              </w:rPr>
            </w:pPr>
            <w:r>
              <w:rPr>
                <w:rFonts w:ascii="Times New Roman"/>
                <w:color w:val="000000"/>
                <w:kern w:val="0"/>
                <w:sz w:val="21"/>
                <w:szCs w:val="21"/>
              </w:rPr>
              <w:t>益指标</w:t>
            </w:r>
          </w:p>
        </w:tc>
        <w:tc>
          <w:tcPr>
            <w:tcW w:w="1209" w:type="dxa"/>
            <w:gridSpan w:val="2"/>
            <w:noWrap w:val="0"/>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不适用</w:t>
            </w:r>
          </w:p>
        </w:tc>
        <w:tc>
          <w:tcPr>
            <w:tcW w:w="1200"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c>
          <w:tcPr>
            <w:tcW w:w="1134"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c>
          <w:tcPr>
            <w:tcW w:w="709"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c>
          <w:tcPr>
            <w:tcW w:w="898"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303" w:type="dxa"/>
            <w:vMerge w:val="continue"/>
            <w:noWrap w:val="0"/>
            <w:vAlign w:val="center"/>
          </w:tcPr>
          <w:p>
            <w:pPr>
              <w:jc w:val="center"/>
              <w:rPr>
                <w:rFonts w:ascii="Times New Roman" w:hAnsi="Times New Roman"/>
                <w:color w:val="000000"/>
                <w:kern w:val="0"/>
                <w:sz w:val="21"/>
                <w:szCs w:val="21"/>
              </w:rPr>
            </w:pPr>
          </w:p>
        </w:tc>
        <w:tc>
          <w:tcPr>
            <w:tcW w:w="1172" w:type="dxa"/>
            <w:vMerge w:val="continue"/>
            <w:noWrap w:val="0"/>
            <w:vAlign w:val="center"/>
          </w:tcPr>
          <w:p>
            <w:pPr>
              <w:jc w:val="left"/>
              <w:rPr>
                <w:rFonts w:ascii="Times New Roman" w:hAnsi="Times New Roman"/>
                <w:color w:val="000000"/>
                <w:kern w:val="0"/>
                <w:sz w:val="21"/>
                <w:szCs w:val="21"/>
              </w:rPr>
            </w:pPr>
          </w:p>
        </w:tc>
        <w:tc>
          <w:tcPr>
            <w:tcW w:w="1252" w:type="dxa"/>
            <w:vMerge w:val="continue"/>
            <w:noWrap w:val="0"/>
            <w:vAlign w:val="center"/>
          </w:tcPr>
          <w:p>
            <w:pPr>
              <w:widowControl/>
              <w:jc w:val="left"/>
              <w:rPr>
                <w:rFonts w:ascii="Times New Roman" w:hAnsi="Times New Roman"/>
                <w:color w:val="000000"/>
                <w:kern w:val="0"/>
                <w:sz w:val="21"/>
                <w:szCs w:val="21"/>
              </w:rPr>
            </w:pPr>
          </w:p>
        </w:tc>
        <w:tc>
          <w:tcPr>
            <w:tcW w:w="1209" w:type="dxa"/>
            <w:gridSpan w:val="2"/>
            <w:noWrap w:val="0"/>
            <w:vAlign w:val="center"/>
          </w:tcPr>
          <w:p>
            <w:pPr>
              <w:widowControl/>
              <w:jc w:val="left"/>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不适用</w:t>
            </w:r>
          </w:p>
        </w:tc>
        <w:tc>
          <w:tcPr>
            <w:tcW w:w="1200"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c>
          <w:tcPr>
            <w:tcW w:w="1134"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c>
          <w:tcPr>
            <w:tcW w:w="709"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c>
          <w:tcPr>
            <w:tcW w:w="898"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1303" w:type="dxa"/>
            <w:vMerge w:val="continue"/>
            <w:noWrap w:val="0"/>
            <w:vAlign w:val="center"/>
          </w:tcPr>
          <w:p>
            <w:pPr>
              <w:widowControl/>
              <w:jc w:val="center"/>
              <w:rPr>
                <w:rFonts w:ascii="Times New Roman" w:hAnsi="Times New Roman"/>
                <w:color w:val="000000"/>
                <w:kern w:val="0"/>
                <w:sz w:val="21"/>
                <w:szCs w:val="21"/>
              </w:rPr>
            </w:pPr>
          </w:p>
        </w:tc>
        <w:tc>
          <w:tcPr>
            <w:tcW w:w="1172" w:type="dxa"/>
            <w:vMerge w:val="continue"/>
            <w:noWrap w:val="0"/>
            <w:vAlign w:val="center"/>
          </w:tcPr>
          <w:p>
            <w:pPr>
              <w:widowControl/>
              <w:jc w:val="left"/>
              <w:rPr>
                <w:rFonts w:ascii="Times New Roman" w:hAnsi="Times New Roman"/>
                <w:color w:val="000000"/>
                <w:kern w:val="0"/>
                <w:sz w:val="21"/>
                <w:szCs w:val="21"/>
              </w:rPr>
            </w:pPr>
          </w:p>
        </w:tc>
        <w:tc>
          <w:tcPr>
            <w:tcW w:w="1252" w:type="dxa"/>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可持续影响指标</w:t>
            </w:r>
          </w:p>
        </w:tc>
        <w:tc>
          <w:tcPr>
            <w:tcW w:w="1209" w:type="dxa"/>
            <w:gridSpan w:val="2"/>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eastAsia" w:ascii="仿宋" w:hAnsi="仿宋" w:eastAsia="仿宋" w:cs="仿宋"/>
                <w:i w:val="0"/>
                <w:color w:val="000000"/>
                <w:kern w:val="0"/>
                <w:sz w:val="18"/>
                <w:szCs w:val="18"/>
                <w:u w:val="none"/>
                <w:lang w:val="en-US" w:eastAsia="zh-CN" w:bidi="ar"/>
              </w:rPr>
              <w:t>机关工作规范化、制度化水平</w:t>
            </w:r>
          </w:p>
        </w:tc>
        <w:tc>
          <w:tcPr>
            <w:tcW w:w="1200" w:type="dxa"/>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default" w:ascii="仿宋_GB2312" w:hAnsi="宋体" w:eastAsia="仿宋_GB2312" w:cs="仿宋_GB2312"/>
                <w:i w:val="0"/>
                <w:color w:val="000000"/>
                <w:kern w:val="0"/>
                <w:sz w:val="18"/>
                <w:szCs w:val="18"/>
                <w:u w:val="none"/>
                <w:lang w:val="en-US" w:eastAsia="zh-CN" w:bidi="ar"/>
              </w:rPr>
              <w:t>显著提升</w:t>
            </w:r>
          </w:p>
        </w:tc>
        <w:tc>
          <w:tcPr>
            <w:tcW w:w="1134" w:type="dxa"/>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default" w:ascii="仿宋_GB2312" w:hAnsi="宋体" w:eastAsia="仿宋_GB2312" w:cs="仿宋_GB2312"/>
                <w:i w:val="0"/>
                <w:color w:val="000000"/>
                <w:kern w:val="0"/>
                <w:sz w:val="18"/>
                <w:szCs w:val="18"/>
                <w:u w:val="none"/>
                <w:lang w:val="en-US" w:eastAsia="zh-CN" w:bidi="ar"/>
              </w:rPr>
              <w:t>显著提升</w:t>
            </w:r>
          </w:p>
        </w:tc>
        <w:tc>
          <w:tcPr>
            <w:tcW w:w="709"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21"/>
                <w:szCs w:val="21"/>
                <w:lang w:val="en-US"/>
              </w:rPr>
            </w:pPr>
            <w:r>
              <w:rPr>
                <w:rFonts w:hint="eastAsia" w:ascii="仿宋_GB2312" w:hAnsi="宋体" w:cs="仿宋_GB2312"/>
                <w:i w:val="0"/>
                <w:color w:val="000000"/>
                <w:kern w:val="0"/>
                <w:sz w:val="18"/>
                <w:szCs w:val="18"/>
                <w:u w:val="none"/>
                <w:lang w:val="en-US" w:eastAsia="zh-CN" w:bidi="ar"/>
              </w:rPr>
              <w:t>10</w:t>
            </w:r>
          </w:p>
        </w:tc>
        <w:tc>
          <w:tcPr>
            <w:tcW w:w="898" w:type="dxa"/>
            <w:noWrap w:val="0"/>
            <w:vAlign w:val="center"/>
          </w:tcPr>
          <w:p>
            <w:pPr>
              <w:keepNext w:val="0"/>
              <w:keepLines w:val="0"/>
              <w:widowControl/>
              <w:suppressLineNumbers w:val="0"/>
              <w:jc w:val="center"/>
              <w:textAlignment w:val="center"/>
              <w:rPr>
                <w:rFonts w:ascii="Times New Roman" w:hAnsi="Times New Roman"/>
                <w:color w:val="000000"/>
                <w:kern w:val="0"/>
                <w:sz w:val="21"/>
                <w:szCs w:val="21"/>
              </w:rPr>
            </w:pPr>
            <w:r>
              <w:rPr>
                <w:rFonts w:hint="default" w:ascii="仿宋_GB2312" w:hAnsi="宋体" w:eastAsia="仿宋_GB2312" w:cs="仿宋_GB2312"/>
                <w:i w:val="0"/>
                <w:color w:val="000000"/>
                <w:kern w:val="0"/>
                <w:sz w:val="18"/>
                <w:szCs w:val="18"/>
                <w:u w:val="none"/>
                <w:lang w:val="en-US" w:eastAsia="zh-CN" w:bidi="ar"/>
              </w:rPr>
              <w:t>10</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303" w:type="dxa"/>
            <w:vMerge w:val="continue"/>
            <w:noWrap w:val="0"/>
            <w:vAlign w:val="center"/>
          </w:tcPr>
          <w:p>
            <w:pPr>
              <w:jc w:val="left"/>
              <w:rPr>
                <w:rFonts w:ascii="Times New Roman" w:hAnsi="Times New Roman"/>
                <w:color w:val="000000"/>
                <w:kern w:val="0"/>
                <w:sz w:val="21"/>
                <w:szCs w:val="21"/>
              </w:rPr>
            </w:pPr>
          </w:p>
        </w:tc>
        <w:tc>
          <w:tcPr>
            <w:tcW w:w="1172" w:type="dxa"/>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满意度</w:t>
            </w:r>
          </w:p>
          <w:p>
            <w:pPr>
              <w:widowControl/>
              <w:jc w:val="center"/>
              <w:rPr>
                <w:rFonts w:ascii="Times New Roman" w:hAnsi="Times New Roman"/>
                <w:color w:val="000000"/>
                <w:kern w:val="0"/>
                <w:sz w:val="21"/>
                <w:szCs w:val="21"/>
              </w:rPr>
            </w:pPr>
            <w:r>
              <w:rPr>
                <w:rFonts w:ascii="Times New Roman"/>
                <w:color w:val="000000"/>
                <w:kern w:val="0"/>
                <w:sz w:val="21"/>
                <w:szCs w:val="21"/>
              </w:rPr>
              <w:t>指标</w:t>
            </w:r>
          </w:p>
          <w:p>
            <w:pPr>
              <w:widowControl/>
              <w:jc w:val="center"/>
              <w:rPr>
                <w:rFonts w:ascii="Times New Roman" w:hAnsi="Times New Roman"/>
                <w:color w:val="000000"/>
                <w:kern w:val="0"/>
                <w:sz w:val="21"/>
                <w:szCs w:val="21"/>
              </w:rPr>
            </w:pPr>
            <w:r>
              <w:rPr>
                <w:rFonts w:ascii="Times New Roman"/>
                <w:color w:val="000000"/>
                <w:kern w:val="0"/>
                <w:sz w:val="21"/>
                <w:szCs w:val="21"/>
              </w:rPr>
              <w:t>（</w:t>
            </w:r>
            <w:r>
              <w:rPr>
                <w:rFonts w:ascii="Times New Roman" w:hAnsi="Times New Roman"/>
                <w:color w:val="000000"/>
                <w:kern w:val="0"/>
                <w:sz w:val="21"/>
                <w:szCs w:val="21"/>
              </w:rPr>
              <w:t>10</w:t>
            </w:r>
            <w:r>
              <w:rPr>
                <w:rFonts w:ascii="Times New Roman"/>
                <w:color w:val="000000"/>
                <w:kern w:val="0"/>
                <w:sz w:val="21"/>
                <w:szCs w:val="21"/>
              </w:rPr>
              <w:t>分）</w:t>
            </w:r>
          </w:p>
        </w:tc>
        <w:tc>
          <w:tcPr>
            <w:tcW w:w="1252" w:type="dxa"/>
            <w:noWrap w:val="0"/>
            <w:vAlign w:val="center"/>
          </w:tcPr>
          <w:p>
            <w:pPr>
              <w:widowControl/>
              <w:jc w:val="center"/>
              <w:rPr>
                <w:rFonts w:ascii="Times New Roman" w:hAnsi="Times New Roman"/>
                <w:color w:val="000000"/>
                <w:kern w:val="0"/>
                <w:sz w:val="21"/>
                <w:szCs w:val="21"/>
              </w:rPr>
            </w:pPr>
            <w:r>
              <w:rPr>
                <w:rFonts w:ascii="Times New Roman"/>
                <w:color w:val="000000"/>
                <w:kern w:val="0"/>
                <w:sz w:val="21"/>
                <w:szCs w:val="21"/>
              </w:rPr>
              <w:t>服务对象满意度指标</w:t>
            </w:r>
          </w:p>
        </w:tc>
        <w:tc>
          <w:tcPr>
            <w:tcW w:w="1209" w:type="dxa"/>
            <w:gridSpan w:val="2"/>
            <w:noWrap w:val="0"/>
            <w:vAlign w:val="center"/>
          </w:tcPr>
          <w:p>
            <w:pPr>
              <w:keepNext w:val="0"/>
              <w:keepLines w:val="0"/>
              <w:widowControl/>
              <w:suppressLineNumbers w:val="0"/>
              <w:jc w:val="center"/>
              <w:textAlignment w:val="center"/>
              <w:rPr>
                <w:rFonts w:hint="default" w:ascii="Times New Roman" w:hAnsi="Times New Roman"/>
                <w:color w:val="000000"/>
                <w:kern w:val="0"/>
                <w:sz w:val="21"/>
                <w:szCs w:val="21"/>
                <w:lang w:val="en-US"/>
              </w:rPr>
            </w:pPr>
            <w:r>
              <w:rPr>
                <w:rFonts w:hint="eastAsia" w:ascii="仿宋" w:hAnsi="仿宋" w:eastAsia="仿宋" w:cs="仿宋"/>
                <w:i w:val="0"/>
                <w:color w:val="000000"/>
                <w:kern w:val="0"/>
                <w:sz w:val="18"/>
                <w:szCs w:val="18"/>
                <w:u w:val="none"/>
                <w:lang w:val="en-US" w:eastAsia="zh-CN" w:bidi="ar"/>
              </w:rPr>
              <w:t>对基本药物制度补助满意度</w:t>
            </w:r>
          </w:p>
        </w:tc>
        <w:tc>
          <w:tcPr>
            <w:tcW w:w="1200"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21"/>
                <w:szCs w:val="21"/>
                <w:lang w:val="en-US"/>
              </w:rPr>
            </w:pPr>
            <w:r>
              <w:rPr>
                <w:rFonts w:hint="default" w:ascii="仿宋_GB2312" w:hAnsi="宋体" w:eastAsia="仿宋_GB2312" w:cs="仿宋_GB2312"/>
                <w:i w:val="0"/>
                <w:color w:val="000000"/>
                <w:kern w:val="0"/>
                <w:sz w:val="18"/>
                <w:szCs w:val="18"/>
                <w:u w:val="none"/>
                <w:lang w:val="en-US" w:eastAsia="zh-CN" w:bidi="ar"/>
              </w:rPr>
              <w:t>≥90%</w:t>
            </w:r>
          </w:p>
        </w:tc>
        <w:tc>
          <w:tcPr>
            <w:tcW w:w="1134"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21"/>
                <w:szCs w:val="21"/>
                <w:lang w:val="en-US"/>
              </w:rPr>
            </w:pPr>
            <w:r>
              <w:rPr>
                <w:rFonts w:hint="default" w:ascii="仿宋_GB2312" w:hAnsi="宋体" w:eastAsia="仿宋_GB2312" w:cs="仿宋_GB2312"/>
                <w:i w:val="0"/>
                <w:color w:val="000000"/>
                <w:kern w:val="0"/>
                <w:sz w:val="18"/>
                <w:szCs w:val="18"/>
                <w:u w:val="none"/>
                <w:lang w:val="en-US" w:eastAsia="zh-CN" w:bidi="ar"/>
              </w:rPr>
              <w:t>95%</w:t>
            </w:r>
          </w:p>
        </w:tc>
        <w:tc>
          <w:tcPr>
            <w:tcW w:w="709"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21"/>
                <w:szCs w:val="21"/>
                <w:lang w:val="en-US"/>
              </w:rPr>
            </w:pPr>
            <w:r>
              <w:rPr>
                <w:rFonts w:hint="eastAsia" w:ascii="仿宋_GB2312" w:hAnsi="宋体" w:cs="仿宋_GB2312"/>
                <w:i w:val="0"/>
                <w:color w:val="000000"/>
                <w:kern w:val="0"/>
                <w:sz w:val="18"/>
                <w:szCs w:val="18"/>
                <w:u w:val="none"/>
                <w:lang w:val="en-US" w:eastAsia="zh-CN" w:bidi="ar"/>
              </w:rPr>
              <w:t>10</w:t>
            </w:r>
          </w:p>
        </w:tc>
        <w:tc>
          <w:tcPr>
            <w:tcW w:w="898" w:type="dxa"/>
            <w:noWrap w:val="0"/>
            <w:vAlign w:val="center"/>
          </w:tcPr>
          <w:p>
            <w:pPr>
              <w:keepNext w:val="0"/>
              <w:keepLines w:val="0"/>
              <w:widowControl/>
              <w:suppressLineNumbers w:val="0"/>
              <w:jc w:val="center"/>
              <w:textAlignment w:val="center"/>
              <w:rPr>
                <w:rFonts w:hint="default" w:ascii="Times New Roman" w:hAnsi="Times New Roman"/>
                <w:color w:val="000000"/>
                <w:kern w:val="0"/>
                <w:sz w:val="21"/>
                <w:szCs w:val="21"/>
                <w:lang w:val="en-US"/>
              </w:rPr>
            </w:pPr>
            <w:r>
              <w:rPr>
                <w:rFonts w:hint="default" w:ascii="仿宋_GB2312" w:hAnsi="宋体" w:eastAsia="仿宋_GB2312" w:cs="仿宋_GB2312"/>
                <w:i w:val="0"/>
                <w:color w:val="000000"/>
                <w:kern w:val="0"/>
                <w:sz w:val="18"/>
                <w:szCs w:val="18"/>
                <w:u w:val="none"/>
                <w:lang w:val="en-US" w:eastAsia="zh-CN" w:bidi="ar"/>
              </w:rPr>
              <w:t>10</w:t>
            </w:r>
          </w:p>
        </w:tc>
        <w:tc>
          <w:tcPr>
            <w:tcW w:w="1446" w:type="dxa"/>
            <w:noWrap w:val="0"/>
            <w:vAlign w:val="center"/>
          </w:tcPr>
          <w:p>
            <w:pPr>
              <w:widowControl/>
              <w:jc w:val="left"/>
              <w:rPr>
                <w:rFonts w:ascii="Times New Roman" w:hAnsi="Times New Roman"/>
                <w:color w:val="000000"/>
                <w:kern w:val="0"/>
                <w:sz w:val="21"/>
                <w:szCs w:val="21"/>
              </w:rPr>
            </w:pPr>
            <w:r>
              <w:rPr>
                <w:rFonts w:ascii="Times New Roman"/>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270" w:type="dxa"/>
            <w:gridSpan w:val="7"/>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709" w:type="dxa"/>
            <w:noWrap w:val="0"/>
            <w:vAlign w:val="center"/>
          </w:tcPr>
          <w:p>
            <w:pPr>
              <w:widowControl/>
              <w:jc w:val="center"/>
              <w:rPr>
                <w:rFonts w:ascii="Times New Roman" w:hAnsi="Times New Roman"/>
                <w:color w:val="000000"/>
                <w:kern w:val="0"/>
                <w:sz w:val="21"/>
                <w:szCs w:val="21"/>
              </w:rPr>
            </w:pPr>
            <w:r>
              <w:rPr>
                <w:rFonts w:ascii="Times New Roman" w:hAnsi="Times New Roman"/>
                <w:color w:val="000000"/>
                <w:kern w:val="0"/>
                <w:sz w:val="21"/>
                <w:szCs w:val="21"/>
              </w:rPr>
              <w:t>100</w:t>
            </w:r>
          </w:p>
        </w:tc>
        <w:tc>
          <w:tcPr>
            <w:tcW w:w="898" w:type="dxa"/>
            <w:noWrap w:val="0"/>
            <w:vAlign w:val="center"/>
          </w:tcPr>
          <w:p>
            <w:pPr>
              <w:widowControl/>
              <w:jc w:val="left"/>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98.88</w:t>
            </w:r>
          </w:p>
        </w:tc>
        <w:tc>
          <w:tcPr>
            <w:tcW w:w="1446" w:type="dxa"/>
            <w:noWrap w:val="0"/>
            <w:vAlign w:val="center"/>
          </w:tcPr>
          <w:p>
            <w:pPr>
              <w:widowControl/>
              <w:jc w:val="left"/>
              <w:rPr>
                <w:rFonts w:ascii="Times New Roman" w:hAnsi="Times New Roman"/>
                <w:color w:val="000000"/>
                <w:kern w:val="0"/>
                <w:sz w:val="21"/>
                <w:szCs w:val="21"/>
              </w:rPr>
            </w:pPr>
            <w:r>
              <w:rPr>
                <w:rFonts w:ascii="Times New Roman" w:hAnsi="Times New Roman"/>
                <w:color w:val="000000"/>
                <w:kern w:val="0"/>
                <w:sz w:val="21"/>
                <w:szCs w:val="21"/>
              </w:rPr>
              <w:t>　</w:t>
            </w:r>
          </w:p>
        </w:tc>
      </w:tr>
    </w:tbl>
    <w:p>
      <w:pPr>
        <w:rPr>
          <w:rFonts w:ascii="Times New Roman" w:hAnsi="Times New Roman" w:eastAsia="黑体"/>
          <w:kern w:val="0"/>
          <w:szCs w:val="32"/>
        </w:rPr>
      </w:pPr>
      <w:r>
        <w:rPr>
          <w:rFonts w:ascii="Times New Roman" w:hAnsi="Times New Roman"/>
          <w:kern w:val="0"/>
          <w:sz w:val="21"/>
          <w:szCs w:val="21"/>
        </w:rPr>
        <w:t>填表人：</w:t>
      </w:r>
      <w:r>
        <w:rPr>
          <w:rFonts w:hint="eastAsia" w:ascii="Times New Roman" w:hAnsi="Times New Roman"/>
          <w:kern w:val="0"/>
          <w:sz w:val="21"/>
          <w:szCs w:val="21"/>
          <w:lang w:val="en-US" w:eastAsia="zh-CN"/>
        </w:rPr>
        <w:t>谌绿叶</w:t>
      </w:r>
      <w:r>
        <w:rPr>
          <w:rFonts w:ascii="Times New Roman" w:hAnsi="Times New Roman"/>
          <w:kern w:val="0"/>
          <w:sz w:val="21"/>
          <w:szCs w:val="21"/>
        </w:rPr>
        <w:t xml:space="preserve">  填报日期：</w:t>
      </w:r>
      <w:r>
        <w:rPr>
          <w:rFonts w:hint="eastAsia" w:ascii="Times New Roman" w:hAnsi="Times New Roman"/>
          <w:kern w:val="0"/>
          <w:sz w:val="21"/>
          <w:szCs w:val="21"/>
          <w:lang w:val="en-US" w:eastAsia="zh-CN"/>
        </w:rPr>
        <w:t>2026.4.21</w:t>
      </w:r>
      <w:r>
        <w:rPr>
          <w:rFonts w:ascii="Times New Roman" w:hAnsi="Times New Roman"/>
          <w:kern w:val="0"/>
          <w:sz w:val="21"/>
          <w:szCs w:val="21"/>
        </w:rPr>
        <w:t xml:space="preserve">    联系电话：</w:t>
      </w:r>
      <w:r>
        <w:rPr>
          <w:rFonts w:hint="eastAsia" w:ascii="Times New Roman" w:hAnsi="Times New Roman"/>
          <w:kern w:val="0"/>
          <w:sz w:val="21"/>
          <w:szCs w:val="21"/>
          <w:lang w:val="en-US" w:eastAsia="zh-CN"/>
        </w:rPr>
        <w:t>15007376121</w:t>
      </w:r>
      <w:r>
        <w:rPr>
          <w:rFonts w:ascii="Times New Roman" w:hAnsi="Times New Roman"/>
          <w:kern w:val="0"/>
          <w:sz w:val="21"/>
          <w:szCs w:val="21"/>
        </w:rPr>
        <w:t xml:space="preserve"> 单位负责人签字：</w:t>
      </w:r>
      <w:r>
        <w:rPr>
          <w:rFonts w:ascii="Times New Roman" w:hAnsi="Times New Roman"/>
          <w:kern w:val="0"/>
          <w:sz w:val="21"/>
          <w:szCs w:val="21"/>
        </w:rPr>
        <w:br w:type="page"/>
      </w:r>
      <w:r>
        <w:rPr>
          <w:rFonts w:ascii="Times New Roman" w:hAnsi="Times New Roman" w:eastAsia="黑体"/>
          <w:kern w:val="0"/>
          <w:szCs w:val="32"/>
        </w:rPr>
        <w:t>附件5</w:t>
      </w:r>
    </w:p>
    <w:p>
      <w:pPr>
        <w:spacing w:line="600" w:lineRule="exact"/>
        <w:rPr>
          <w:rFonts w:ascii="Times New Roman" w:hAnsi="Times New Roman" w:eastAsia="黑体"/>
          <w:kern w:val="0"/>
          <w:szCs w:val="32"/>
        </w:rPr>
      </w:pPr>
    </w:p>
    <w:p>
      <w:pPr>
        <w:jc w:val="center"/>
        <w:rPr>
          <w:rFonts w:ascii="Times New Roman" w:hAnsi="Times New Roman" w:eastAsia="方正小标宋_GBK"/>
          <w:sz w:val="44"/>
          <w:szCs w:val="44"/>
        </w:rPr>
      </w:pPr>
      <w:r>
        <w:rPr>
          <w:rFonts w:ascii="Times New Roman" w:hAnsi="Times New Roman" w:eastAsia="方正小标宋_GBK"/>
          <w:sz w:val="44"/>
          <w:szCs w:val="44"/>
        </w:rPr>
        <w:t>2025年度</w:t>
      </w:r>
      <w:r>
        <w:rPr>
          <w:rFonts w:hint="eastAsia" w:ascii="Times New Roman" w:hAnsi="Times New Roman" w:eastAsia="方正小标宋_GBK"/>
          <w:sz w:val="44"/>
          <w:szCs w:val="44"/>
          <w:lang w:val="en-US" w:eastAsia="zh-CN"/>
        </w:rPr>
        <w:t>益阳市卫生健康委员会</w:t>
      </w:r>
      <w:r>
        <w:rPr>
          <w:rFonts w:ascii="Times New Roman" w:hAnsi="Times New Roman" w:eastAsia="方正小标宋_GBK"/>
          <w:sz w:val="44"/>
          <w:szCs w:val="44"/>
        </w:rPr>
        <w:t>整体支出</w:t>
      </w:r>
    </w:p>
    <w:p>
      <w:pPr>
        <w:jc w:val="center"/>
        <w:rPr>
          <w:rFonts w:ascii="Times New Roman" w:hAnsi="Times New Roman" w:eastAsia="方正小标宋_GBK"/>
          <w:sz w:val="44"/>
          <w:szCs w:val="44"/>
        </w:rPr>
      </w:pPr>
      <w:r>
        <w:rPr>
          <w:rFonts w:ascii="Times New Roman" w:hAnsi="Times New Roman" w:eastAsia="方正小标宋_GBK"/>
          <w:sz w:val="44"/>
          <w:szCs w:val="44"/>
        </w:rPr>
        <w:t>绩效自评报告</w:t>
      </w:r>
    </w:p>
    <w:p>
      <w:pPr>
        <w:jc w:val="center"/>
        <w:rPr>
          <w:rFonts w:ascii="Times New Roman" w:hAnsi="Times New Roman" w:eastAsia="黑体"/>
          <w:szCs w:val="32"/>
        </w:rPr>
      </w:pPr>
    </w:p>
    <w:p>
      <w:pPr>
        <w:jc w:val="center"/>
        <w:rPr>
          <w:rFonts w:ascii="Times New Roman" w:hAnsi="Times New Roman" w:eastAsia="黑体"/>
          <w:szCs w:val="32"/>
        </w:rPr>
      </w:pPr>
    </w:p>
    <w:p>
      <w:pPr>
        <w:jc w:val="center"/>
        <w:rPr>
          <w:rFonts w:ascii="Times New Roman" w:hAnsi="Times New Roman" w:eastAsia="黑体"/>
          <w:szCs w:val="32"/>
        </w:rPr>
      </w:pPr>
    </w:p>
    <w:p>
      <w:pPr>
        <w:jc w:val="center"/>
        <w:rPr>
          <w:rFonts w:ascii="Times New Roman" w:hAnsi="Times New Roman" w:eastAsia="黑体"/>
          <w:szCs w:val="32"/>
        </w:rPr>
      </w:pPr>
    </w:p>
    <w:p>
      <w:pPr>
        <w:jc w:val="center"/>
        <w:rPr>
          <w:rFonts w:ascii="Times New Roman" w:hAnsi="Times New Roman" w:eastAsia="黑体"/>
          <w:szCs w:val="32"/>
        </w:rPr>
      </w:pPr>
    </w:p>
    <w:p>
      <w:pPr>
        <w:jc w:val="center"/>
        <w:rPr>
          <w:rFonts w:ascii="Times New Roman" w:hAnsi="Times New Roman" w:eastAsia="黑体"/>
          <w:szCs w:val="32"/>
        </w:rPr>
      </w:pPr>
    </w:p>
    <w:p>
      <w:pPr>
        <w:jc w:val="center"/>
        <w:rPr>
          <w:rFonts w:ascii="Times New Roman" w:hAnsi="Times New Roman" w:eastAsia="黑体"/>
          <w:szCs w:val="32"/>
        </w:rPr>
      </w:pPr>
    </w:p>
    <w:p>
      <w:pPr>
        <w:ind w:firstLine="880" w:firstLineChars="200"/>
        <w:jc w:val="center"/>
        <w:rPr>
          <w:rFonts w:ascii="Times New Roman" w:hAnsi="Times New Roman" w:eastAsia="黑体"/>
          <w:sz w:val="44"/>
          <w:szCs w:val="44"/>
        </w:rPr>
      </w:pPr>
    </w:p>
    <w:p>
      <w:pPr>
        <w:ind w:firstLine="880" w:firstLineChars="200"/>
        <w:jc w:val="center"/>
        <w:rPr>
          <w:rFonts w:ascii="Times New Roman" w:hAnsi="Times New Roman" w:eastAsia="黑体"/>
          <w:sz w:val="44"/>
          <w:szCs w:val="44"/>
        </w:rPr>
      </w:pPr>
    </w:p>
    <w:p>
      <w:pPr>
        <w:ind w:firstLine="720" w:firstLineChars="200"/>
        <w:rPr>
          <w:rFonts w:ascii="Times New Roman" w:hAnsi="Times New Roman" w:eastAsia="黑体"/>
          <w:sz w:val="36"/>
          <w:szCs w:val="36"/>
        </w:rPr>
      </w:pPr>
    </w:p>
    <w:p>
      <w:pPr>
        <w:ind w:firstLine="720" w:firstLineChars="200"/>
        <w:rPr>
          <w:rFonts w:ascii="Times New Roman" w:hAnsi="Times New Roman" w:eastAsia="黑体"/>
          <w:sz w:val="36"/>
          <w:szCs w:val="36"/>
        </w:rPr>
      </w:pPr>
    </w:p>
    <w:p>
      <w:pPr>
        <w:ind w:firstLine="720" w:firstLineChars="200"/>
        <w:rPr>
          <w:rFonts w:ascii="Times New Roman" w:hAnsi="Times New Roman" w:eastAsia="黑体"/>
          <w:sz w:val="36"/>
          <w:szCs w:val="36"/>
        </w:rPr>
      </w:pPr>
      <w:r>
        <w:rPr>
          <w:rFonts w:ascii="Times New Roman" w:hAnsi="Times New Roman" w:eastAsia="黑体"/>
          <w:sz w:val="36"/>
          <w:szCs w:val="36"/>
        </w:rPr>
        <w:t>部门（单位）名称：</w:t>
      </w:r>
      <w:r>
        <w:rPr>
          <w:rFonts w:ascii="Times New Roman" w:hAnsi="Times New Roman" w:eastAsia="黑体"/>
          <w:sz w:val="36"/>
          <w:szCs w:val="36"/>
          <w:u w:val="single"/>
        </w:rPr>
        <w:t xml:space="preserve">    （盖章）    </w:t>
      </w:r>
    </w:p>
    <w:p>
      <w:pPr>
        <w:ind w:firstLine="3240" w:firstLineChars="900"/>
        <w:rPr>
          <w:rFonts w:ascii="Times New Roman" w:hAnsi="Times New Roman" w:eastAsia="黑体"/>
          <w:sz w:val="36"/>
          <w:szCs w:val="36"/>
        </w:rPr>
      </w:pPr>
    </w:p>
    <w:p>
      <w:pPr>
        <w:ind w:firstLine="3240" w:firstLineChars="900"/>
        <w:rPr>
          <w:rFonts w:ascii="Times New Roman" w:hAnsi="Times New Roman" w:eastAsia="黑体"/>
          <w:sz w:val="36"/>
          <w:szCs w:val="36"/>
          <w:u w:val="single"/>
        </w:rPr>
      </w:pPr>
      <w:r>
        <w:rPr>
          <w:rFonts w:hint="eastAsia" w:ascii="Times New Roman" w:hAnsi="Times New Roman" w:eastAsia="黑体"/>
          <w:sz w:val="36"/>
          <w:szCs w:val="36"/>
          <w:lang w:val="en-US" w:eastAsia="zh-CN"/>
        </w:rPr>
        <w:t>2026</w:t>
      </w:r>
      <w:r>
        <w:rPr>
          <w:rFonts w:ascii="Times New Roman" w:hAnsi="Times New Roman" w:eastAsia="黑体"/>
          <w:sz w:val="36"/>
          <w:szCs w:val="36"/>
        </w:rPr>
        <w:t>年</w:t>
      </w:r>
      <w:r>
        <w:rPr>
          <w:rFonts w:hint="eastAsia" w:ascii="Times New Roman" w:hAnsi="Times New Roman" w:eastAsia="黑体"/>
          <w:sz w:val="36"/>
          <w:szCs w:val="36"/>
          <w:lang w:val="en-US" w:eastAsia="zh-CN"/>
        </w:rPr>
        <w:t>4</w:t>
      </w:r>
      <w:r>
        <w:rPr>
          <w:rFonts w:ascii="Times New Roman" w:hAnsi="Times New Roman" w:eastAsia="黑体"/>
          <w:sz w:val="36"/>
          <w:szCs w:val="36"/>
        </w:rPr>
        <w:t>月</w:t>
      </w:r>
      <w:r>
        <w:rPr>
          <w:rFonts w:hint="eastAsia" w:ascii="Times New Roman" w:hAnsi="Times New Roman" w:eastAsia="黑体"/>
          <w:sz w:val="36"/>
          <w:szCs w:val="36"/>
          <w:lang w:val="en-US" w:eastAsia="zh-CN"/>
        </w:rPr>
        <w:t>23</w:t>
      </w:r>
      <w:r>
        <w:rPr>
          <w:rFonts w:ascii="Times New Roman" w:hAnsi="Times New Roman" w:eastAsia="黑体"/>
          <w:sz w:val="36"/>
          <w:szCs w:val="36"/>
        </w:rPr>
        <w:t>日</w:t>
      </w:r>
    </w:p>
    <w:p>
      <w:pPr>
        <w:jc w:val="center"/>
        <w:rPr>
          <w:rFonts w:ascii="Times New Roman" w:hAnsi="Times New Roman" w:eastAsia="黑体"/>
          <w:szCs w:val="32"/>
        </w:rPr>
      </w:pPr>
    </w:p>
    <w:p>
      <w:pPr>
        <w:jc w:val="center"/>
        <w:rPr>
          <w:rFonts w:ascii="Times New Roman" w:hAnsi="Times New Roman"/>
          <w:szCs w:val="32"/>
        </w:rPr>
      </w:pPr>
      <w:r>
        <w:rPr>
          <w:rFonts w:ascii="Times New Roman" w:hAnsi="Times New Roman"/>
          <w:szCs w:val="32"/>
        </w:rPr>
        <w:t xml:space="preserve">  （此页为封面）</w:t>
      </w:r>
    </w:p>
    <w:p>
      <w:pPr>
        <w:spacing w:line="700" w:lineRule="exact"/>
        <w:jc w:val="center"/>
        <w:rPr>
          <w:rFonts w:ascii="Times New Roman" w:hAnsi="Times New Roman" w:eastAsia="方正小标宋_GBK"/>
          <w:sz w:val="44"/>
          <w:szCs w:val="44"/>
        </w:rPr>
      </w:pPr>
    </w:p>
    <w:p>
      <w:pPr>
        <w:spacing w:line="700" w:lineRule="exact"/>
        <w:jc w:val="center"/>
        <w:rPr>
          <w:rFonts w:ascii="Times New Roman" w:hAnsi="Times New Roman" w:eastAsia="方正小标宋_GBK"/>
          <w:sz w:val="44"/>
          <w:szCs w:val="44"/>
        </w:rPr>
      </w:pPr>
      <w:r>
        <w:rPr>
          <w:rFonts w:ascii="Times New Roman" w:hAnsi="Times New Roman" w:eastAsia="方正小标宋_GBK"/>
          <w:sz w:val="44"/>
          <w:szCs w:val="44"/>
        </w:rPr>
        <w:t>2025年度</w:t>
      </w:r>
      <w:r>
        <w:rPr>
          <w:rFonts w:hint="eastAsia" w:ascii="Times New Roman" w:hAnsi="Times New Roman" w:eastAsia="方正小标宋_GBK"/>
          <w:sz w:val="44"/>
          <w:szCs w:val="44"/>
          <w:lang w:val="en-US" w:eastAsia="zh-CN"/>
        </w:rPr>
        <w:t>益阳市卫生健康委员会</w:t>
      </w:r>
      <w:r>
        <w:rPr>
          <w:rFonts w:ascii="Times New Roman" w:hAnsi="Times New Roman" w:eastAsia="方正小标宋_GBK"/>
          <w:sz w:val="44"/>
          <w:szCs w:val="44"/>
        </w:rPr>
        <w:t>整体支出</w:t>
      </w:r>
    </w:p>
    <w:p>
      <w:pPr>
        <w:spacing w:line="700" w:lineRule="exact"/>
        <w:jc w:val="center"/>
        <w:rPr>
          <w:rFonts w:ascii="Times New Roman" w:hAnsi="Times New Roman" w:eastAsia="方正小标宋_GBK"/>
          <w:sz w:val="44"/>
          <w:szCs w:val="44"/>
        </w:rPr>
      </w:pPr>
      <w:r>
        <w:rPr>
          <w:rFonts w:ascii="Times New Roman" w:hAnsi="Times New Roman" w:eastAsia="方正小标宋_GBK"/>
          <w:sz w:val="44"/>
          <w:szCs w:val="44"/>
        </w:rPr>
        <w:t>绩效自评报告</w:t>
      </w:r>
    </w:p>
    <w:p>
      <w:pPr>
        <w:spacing w:line="600" w:lineRule="exact"/>
        <w:ind w:firstLine="640" w:firstLineChars="200"/>
        <w:rPr>
          <w:rFonts w:ascii="Times New Roman" w:hAnsi="Times New Roman" w:eastAsia="黑体"/>
          <w:szCs w:val="32"/>
        </w:rPr>
      </w:pPr>
    </w:p>
    <w:p>
      <w:pPr>
        <w:numPr>
          <w:ilvl w:val="0"/>
          <w:numId w:val="1"/>
        </w:numPr>
        <w:spacing w:line="520" w:lineRule="exact"/>
        <w:ind w:firstLine="640" w:firstLineChars="200"/>
        <w:rPr>
          <w:rFonts w:ascii="Times New Roman" w:hAnsi="Times New Roman" w:eastAsia="黑体"/>
          <w:szCs w:val="32"/>
        </w:rPr>
      </w:pPr>
      <w:r>
        <w:rPr>
          <w:rFonts w:ascii="Times New Roman" w:hAnsi="Times New Roman" w:eastAsia="黑体"/>
          <w:szCs w:val="32"/>
        </w:rPr>
        <w:t>部门（单位）基本情况</w:t>
      </w:r>
    </w:p>
    <w:p>
      <w:pPr>
        <w:spacing w:line="600" w:lineRule="exact"/>
        <w:rPr>
          <w:rFonts w:hint="eastAsia" w:ascii="仿宋_GB2312" w:hAnsi="仿宋"/>
          <w:szCs w:val="32"/>
        </w:rPr>
      </w:pPr>
      <w:r>
        <w:rPr>
          <w:rFonts w:hint="eastAsia" w:ascii="Times New Roman" w:hAnsi="Times New Roman" w:eastAsia="黑体"/>
          <w:szCs w:val="32"/>
          <w:lang w:val="en-US" w:eastAsia="zh-CN"/>
        </w:rPr>
        <w:t xml:space="preserve">  </w:t>
      </w:r>
      <w:r>
        <w:rPr>
          <w:rFonts w:hint="eastAsia" w:eastAsia="黑体"/>
          <w:szCs w:val="32"/>
          <w:lang w:eastAsia="zh-CN"/>
        </w:rPr>
        <w:t>（</w:t>
      </w:r>
      <w:r>
        <w:rPr>
          <w:rFonts w:hint="eastAsia" w:eastAsia="黑体"/>
          <w:szCs w:val="32"/>
          <w:lang w:val="en-US" w:eastAsia="zh-CN"/>
        </w:rPr>
        <w:t>一</w:t>
      </w:r>
      <w:r>
        <w:rPr>
          <w:rFonts w:hint="eastAsia" w:eastAsia="黑体"/>
          <w:szCs w:val="32"/>
          <w:lang w:eastAsia="zh-CN"/>
        </w:rPr>
        <w:t>）</w:t>
      </w:r>
      <w:r>
        <w:rPr>
          <w:rFonts w:hint="eastAsia" w:eastAsia="黑体"/>
          <w:szCs w:val="32"/>
        </w:rPr>
        <w:t>．主要职能</w:t>
      </w:r>
      <w:r>
        <w:rPr>
          <w:rFonts w:hint="eastAsia" w:ascii="仿宋_GB2312" w:hAnsi="仿宋"/>
          <w:szCs w:val="32"/>
        </w:rPr>
        <w:t>。</w:t>
      </w:r>
    </w:p>
    <w:p>
      <w:pPr>
        <w:spacing w:line="600" w:lineRule="exact"/>
        <w:rPr>
          <w:rFonts w:hint="eastAsia" w:ascii="仿宋" w:hAnsi="仿宋" w:eastAsia="仿宋" w:cs="仿宋"/>
          <w:b w:val="0"/>
          <w:bCs/>
          <w:szCs w:val="32"/>
        </w:rPr>
      </w:pPr>
      <w:r>
        <w:rPr>
          <w:rFonts w:hint="eastAsia" w:ascii="宋体" w:hAnsi="宋体" w:eastAsia="宋体" w:cs="宋体"/>
          <w:b/>
          <w:szCs w:val="32"/>
        </w:rPr>
        <w:t xml:space="preserve">  </w:t>
      </w:r>
      <w:r>
        <w:rPr>
          <w:rFonts w:hint="eastAsia" w:ascii="仿宋" w:hAnsi="仿宋" w:eastAsia="仿宋" w:cs="仿宋"/>
          <w:b w:val="0"/>
          <w:bCs/>
          <w:szCs w:val="32"/>
        </w:rPr>
        <w:t>（1）贯彻执行国民健康政策及国家卫生健康法律法规，拟订全市卫生健康规划并组织实施。统筹规划全市卫生健康服务资源配置，指导区域卫生健康规划的编制和实施；制定并组织实施推进卫生健康基本公共服务均等化、普惠化、便捷化和公共资源向基层延伸等政策措施。</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（2）协调推进全市深化医药卫生体制改革，研究提出全市深化医药卫生体制改革政策与措施的建议；组织深化公立医院综合改革，推进管办分离，健全现代医院管理制度，提出医疗服务和药品价格政策的建议。</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（3）制定并组织落实全市疾病预防控制规划、免疫规划以及严重危害人民健康公共卫生问题的干预措施；负责卫生应急工作，组织指导突发公共卫生事件的预防控制和各类突发公共事件的医疗救援。</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（4）协调落实应对人口老龄化政策措施，推进老年健康服务体系建设和医养结合工作。</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（5）贯彻执行国家药物政策和国家基本药物制度，开展药品使用监测、临床综合评价和短缺药品预警；组织开展食品安全风险监测，负责食源性疾病及与食品安全事故有关的流行病学调查。</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（6）负责职责范围内的职业卫生、放射卫生、环境卫生、学校卫生、公共场所卫生、饮用水卫生等公共卫生的监督管理。负责传染病防治监督，健全卫生健康综合监督体系。</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7）制定医疗机构、医疗服务行业管理办法并监督实施，建立医疗服务评价和监督管理体系；会同有关部门实施卫生健康专业技术人员资格标准；组织实施医疗服务规范、标准和卫生健康专业技术人员执业规则、服务规范。</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（8）负责计划生育管理和服务工作，开展人口监测预警，研究提出人口与家庭发展相关政策建议。</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（9）指导全市卫生健康工作，指导基层医疗卫生、妇幼健康服务体系建设，加强全科医生队伍建设；推进卫生健康科技创新发展。</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（10）负责全市健康教育、健康促进和卫生健康信息化建设等工作。</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（11）负责市保健对象的医疗保健工作，负责重要来宾、重要会议与重大活动的医疗卫生保障工作,指导全市保健工作。</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（12）指导市计划生育协会的业务工作。</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13）组织拟订并协调落实应对老龄化的政策措施；组织拟订医养结合的政策、标准和规范，建立和完善老年健康服务体系。开展重点职业病监测、专项调查、职业健康风险评估和职业人群健康管理工作；协调开展职业病防治工作。</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（14）完成市委、市政府交办的其他任务。</w:t>
      </w:r>
    </w:p>
    <w:p>
      <w:pPr>
        <w:spacing w:line="600" w:lineRule="exact"/>
        <w:rPr>
          <w:rFonts w:hint="eastAsia" w:ascii="仿宋" w:hAnsi="仿宋" w:eastAsia="仿宋" w:cs="仿宋"/>
          <w:b w:val="0"/>
          <w:bCs/>
          <w:szCs w:val="32"/>
        </w:rPr>
      </w:pPr>
      <w:r>
        <w:rPr>
          <w:rFonts w:hint="eastAsia" w:ascii="仿宋" w:hAnsi="仿宋" w:eastAsia="仿宋" w:cs="仿宋"/>
          <w:b w:val="0"/>
          <w:bCs/>
          <w:szCs w:val="32"/>
        </w:rPr>
        <w:t xml:space="preserve">   （15）职能转变。市卫生健康委员会应当牢固树立大卫生、大健康理念，推动实施健康益阳战略，以改革创新为动力，以促健康、转模式、强基层、重保障为着力点，把以治病为中心转变到以人民健康为中心，为人民群众提供全方位全周期健康服务。一是更加注重预防为主和健康促进，加强预防控制重大疾病工作，积极应对人口老龄化，健全健康服务体系。二是更加注重工作重心下移和资源下沉，推进卫生健康公共资源向基层延伸、向农村覆盖、向边远地区和生活困难群众倾斜。三是更加注重提高服务质量和水平，推进卫生健康基本公共服务均等化、普惠化、便捷化。四是协调推进深化医药卫生体制改革，加大公立医院改革力度，推进管办分离，推动卫生健康公共服务提供主体多元化、提供方式多样化。</w:t>
      </w:r>
    </w:p>
    <w:p>
      <w:pPr>
        <w:numPr>
          <w:ilvl w:val="0"/>
          <w:numId w:val="0"/>
        </w:numPr>
        <w:ind w:left="720" w:leftChars="0"/>
        <w:rPr>
          <w:rFonts w:hint="eastAsia" w:ascii="仿宋" w:hAnsi="仿宋" w:eastAsia="仿宋" w:cs="仿宋"/>
          <w:b w:val="0"/>
          <w:bCs/>
          <w:szCs w:val="32"/>
        </w:rPr>
      </w:pPr>
      <w:r>
        <w:rPr>
          <w:rFonts w:hint="eastAsia" w:ascii="仿宋" w:hAnsi="仿宋" w:eastAsia="仿宋" w:cs="仿宋"/>
          <w:b w:val="0"/>
          <w:bCs/>
          <w:szCs w:val="32"/>
          <w:lang w:eastAsia="zh-CN"/>
        </w:rPr>
        <w:t>（</w:t>
      </w:r>
      <w:r>
        <w:rPr>
          <w:rFonts w:hint="eastAsia" w:ascii="仿宋" w:hAnsi="仿宋" w:eastAsia="仿宋" w:cs="仿宋"/>
          <w:b w:val="0"/>
          <w:bCs/>
          <w:szCs w:val="32"/>
          <w:lang w:val="en-US" w:eastAsia="zh-CN"/>
        </w:rPr>
        <w:t>二</w:t>
      </w:r>
      <w:r>
        <w:rPr>
          <w:rFonts w:hint="eastAsia" w:ascii="仿宋" w:hAnsi="仿宋" w:eastAsia="仿宋" w:cs="仿宋"/>
          <w:b w:val="0"/>
          <w:bCs/>
          <w:szCs w:val="32"/>
          <w:lang w:eastAsia="zh-CN"/>
        </w:rPr>
        <w:t>）</w:t>
      </w:r>
      <w:r>
        <w:rPr>
          <w:rFonts w:hint="eastAsia" w:ascii="仿宋" w:hAnsi="仿宋" w:eastAsia="仿宋" w:cs="仿宋"/>
          <w:b w:val="0"/>
          <w:bCs/>
          <w:szCs w:val="32"/>
        </w:rPr>
        <w:t>机构情况。</w:t>
      </w:r>
    </w:p>
    <w:p>
      <w:pPr>
        <w:rPr>
          <w:rFonts w:hint="default" w:ascii="仿宋" w:hAnsi="仿宋" w:eastAsia="仿宋" w:cs="仿宋"/>
          <w:b w:val="0"/>
          <w:bCs/>
          <w:szCs w:val="32"/>
          <w:lang w:val="en-US" w:eastAsia="zh-CN"/>
        </w:rPr>
      </w:pPr>
      <w:r>
        <w:rPr>
          <w:rFonts w:hint="eastAsia" w:ascii="仿宋" w:hAnsi="仿宋" w:eastAsia="仿宋" w:cs="仿宋"/>
          <w:b w:val="0"/>
          <w:bCs/>
          <w:szCs w:val="32"/>
        </w:rPr>
        <w:t xml:space="preserve">    益阳市卫生健康委员会内设科室</w:t>
      </w:r>
      <w:r>
        <w:rPr>
          <w:rFonts w:hint="eastAsia" w:ascii="仿宋" w:hAnsi="仿宋" w:eastAsia="仿宋" w:cs="仿宋"/>
          <w:b w:val="0"/>
          <w:bCs/>
          <w:szCs w:val="32"/>
          <w:lang w:val="en-US" w:eastAsia="zh-CN"/>
        </w:rPr>
        <w:t>28</w:t>
      </w:r>
      <w:r>
        <w:rPr>
          <w:rFonts w:hint="eastAsia" w:ascii="仿宋" w:hAnsi="仿宋" w:eastAsia="仿宋" w:cs="仿宋"/>
          <w:b w:val="0"/>
          <w:bCs/>
          <w:szCs w:val="32"/>
        </w:rPr>
        <w:t>个，</w:t>
      </w:r>
      <w:r>
        <w:rPr>
          <w:rFonts w:hint="eastAsia" w:ascii="仿宋" w:hAnsi="仿宋" w:eastAsia="仿宋" w:cs="仿宋"/>
          <w:b w:val="0"/>
          <w:bCs/>
          <w:szCs w:val="32"/>
          <w:lang w:val="en-US" w:eastAsia="zh-CN"/>
        </w:rPr>
        <w:t>独立核算二级机构7个，包括益阳市中心医院、益阳市第一中医医院、益阳市第四人民医院、益阳市妇幼保健院、益阳市疾病预防控制中心、益阳市中心血站、益阳市突发公共卫生应急事件办公室。</w:t>
      </w:r>
    </w:p>
    <w:p>
      <w:pPr>
        <w:snapToGrid w:val="0"/>
        <w:spacing w:line="520" w:lineRule="exact"/>
        <w:rPr>
          <w:rFonts w:hint="default" w:ascii="Times New Roman" w:hAnsi="Times New Roman" w:eastAsia="黑体"/>
          <w:szCs w:val="32"/>
          <w:lang w:val="en-US" w:eastAsia="zh-CN"/>
        </w:rPr>
      </w:pPr>
      <w:r>
        <w:rPr>
          <w:rFonts w:hint="eastAsia" w:ascii="仿宋" w:hAnsi="仿宋" w:eastAsia="仿宋" w:cs="仿宋"/>
          <w:b w:val="0"/>
          <w:bCs/>
          <w:szCs w:val="32"/>
        </w:rPr>
        <w:t xml:space="preserve">  </w:t>
      </w:r>
      <w:r>
        <w:rPr>
          <w:rFonts w:hint="eastAsia" w:ascii="仿宋" w:hAnsi="仿宋" w:eastAsia="仿宋" w:cs="仿宋"/>
          <w:b w:val="0"/>
          <w:bCs/>
          <w:szCs w:val="32"/>
          <w:lang w:eastAsia="zh-CN"/>
        </w:rPr>
        <w:t>（</w:t>
      </w:r>
      <w:r>
        <w:rPr>
          <w:rFonts w:hint="eastAsia" w:ascii="仿宋" w:hAnsi="仿宋" w:eastAsia="仿宋" w:cs="仿宋"/>
          <w:b w:val="0"/>
          <w:bCs/>
          <w:szCs w:val="32"/>
          <w:lang w:val="en-US" w:eastAsia="zh-CN"/>
        </w:rPr>
        <w:t>三</w:t>
      </w:r>
      <w:r>
        <w:rPr>
          <w:rFonts w:hint="eastAsia" w:ascii="仿宋" w:hAnsi="仿宋" w:eastAsia="仿宋" w:cs="仿宋"/>
          <w:b w:val="0"/>
          <w:bCs/>
          <w:szCs w:val="32"/>
          <w:lang w:eastAsia="zh-CN"/>
        </w:rPr>
        <w:t>）</w:t>
      </w:r>
      <w:r>
        <w:rPr>
          <w:rFonts w:hint="eastAsia" w:ascii="仿宋" w:hAnsi="仿宋" w:eastAsia="仿宋" w:cs="仿宋"/>
          <w:b w:val="0"/>
          <w:bCs/>
          <w:szCs w:val="32"/>
        </w:rPr>
        <w:t>人员情况。202</w:t>
      </w:r>
      <w:r>
        <w:rPr>
          <w:rFonts w:hint="eastAsia" w:ascii="仿宋" w:hAnsi="仿宋" w:eastAsia="仿宋" w:cs="仿宋"/>
          <w:b w:val="0"/>
          <w:bCs/>
          <w:szCs w:val="32"/>
          <w:lang w:val="en-US" w:eastAsia="zh-CN"/>
        </w:rPr>
        <w:t>5</w:t>
      </w:r>
      <w:r>
        <w:rPr>
          <w:rFonts w:hint="eastAsia" w:ascii="仿宋" w:hAnsi="仿宋" w:eastAsia="仿宋" w:cs="仿宋"/>
          <w:b w:val="0"/>
          <w:bCs/>
          <w:szCs w:val="32"/>
        </w:rPr>
        <w:t>年在职</w:t>
      </w:r>
      <w:r>
        <w:rPr>
          <w:rFonts w:hint="eastAsia" w:ascii="仿宋" w:hAnsi="仿宋" w:eastAsia="仿宋" w:cs="仿宋"/>
          <w:b w:val="0"/>
          <w:bCs/>
          <w:szCs w:val="32"/>
          <w:lang w:val="en-US" w:eastAsia="zh-CN"/>
        </w:rPr>
        <w:t>在编</w:t>
      </w:r>
      <w:r>
        <w:rPr>
          <w:rFonts w:hint="eastAsia" w:ascii="仿宋" w:hAnsi="仿宋" w:eastAsia="仿宋" w:cs="仿宋"/>
          <w:b w:val="0"/>
          <w:bCs/>
          <w:szCs w:val="32"/>
        </w:rPr>
        <w:t>职工</w:t>
      </w:r>
      <w:r>
        <w:rPr>
          <w:rFonts w:hint="eastAsia" w:ascii="仿宋" w:hAnsi="仿宋" w:eastAsia="仿宋" w:cs="仿宋"/>
          <w:b w:val="0"/>
          <w:bCs/>
          <w:szCs w:val="32"/>
          <w:lang w:val="en-US" w:eastAsia="zh-CN"/>
        </w:rPr>
        <w:t>1977</w:t>
      </w:r>
      <w:r>
        <w:rPr>
          <w:rFonts w:hint="eastAsia" w:ascii="仿宋" w:hAnsi="仿宋" w:eastAsia="仿宋" w:cs="仿宋"/>
          <w:b w:val="0"/>
          <w:bCs/>
          <w:szCs w:val="32"/>
        </w:rPr>
        <w:t>人。</w:t>
      </w:r>
    </w:p>
    <w:p>
      <w:pPr>
        <w:pStyle w:val="9"/>
        <w:spacing w:line="520" w:lineRule="exact"/>
        <w:ind w:firstLine="632"/>
        <w:rPr>
          <w:rFonts w:ascii="Times New Roman" w:hAnsi="Times New Roman" w:eastAsia="黑体"/>
          <w:szCs w:val="32"/>
        </w:rPr>
      </w:pPr>
      <w:r>
        <w:rPr>
          <w:rFonts w:ascii="Times New Roman" w:hAnsi="Times New Roman" w:eastAsia="黑体"/>
          <w:szCs w:val="32"/>
        </w:rPr>
        <w:t>二、一般公共预算支出情况</w:t>
      </w:r>
    </w:p>
    <w:p>
      <w:pPr>
        <w:pStyle w:val="9"/>
        <w:spacing w:line="520" w:lineRule="exact"/>
        <w:ind w:firstLine="634"/>
        <w:rPr>
          <w:rFonts w:ascii="Times New Roman" w:hAnsi="Times New Roman" w:eastAsia="楷体_GB2312"/>
          <w:b/>
          <w:szCs w:val="32"/>
        </w:rPr>
      </w:pPr>
      <w:r>
        <w:rPr>
          <w:rFonts w:ascii="Times New Roman" w:hAnsi="Times New Roman" w:eastAsia="楷体_GB2312"/>
          <w:b/>
          <w:szCs w:val="32"/>
        </w:rPr>
        <w:t>（一）基本支出情况</w:t>
      </w:r>
    </w:p>
    <w:p>
      <w:pPr>
        <w:pStyle w:val="9"/>
        <w:spacing w:line="520" w:lineRule="exact"/>
        <w:ind w:firstLine="632"/>
        <w:rPr>
          <w:rFonts w:ascii="Times New Roman" w:hAnsi="Times New Roman" w:eastAsia="楷体_GB2312"/>
          <w:b/>
          <w:szCs w:val="32"/>
        </w:rPr>
      </w:pPr>
      <w:r>
        <w:rPr>
          <w:rFonts w:hint="eastAsia" w:ascii="仿宋" w:hAnsi="仿宋" w:eastAsia="仿宋" w:cs="仿宋"/>
          <w:b w:val="0"/>
          <w:bCs/>
          <w:szCs w:val="32"/>
        </w:rPr>
        <w:t>202</w:t>
      </w:r>
      <w:r>
        <w:rPr>
          <w:rFonts w:hint="eastAsia" w:ascii="仿宋" w:hAnsi="仿宋" w:eastAsia="仿宋" w:cs="仿宋"/>
          <w:b w:val="0"/>
          <w:bCs/>
          <w:szCs w:val="32"/>
          <w:lang w:val="en-US" w:eastAsia="zh-CN"/>
        </w:rPr>
        <w:t>5</w:t>
      </w:r>
      <w:r>
        <w:rPr>
          <w:rFonts w:hint="eastAsia" w:ascii="仿宋" w:hAnsi="仿宋" w:eastAsia="仿宋" w:cs="仿宋"/>
          <w:b w:val="0"/>
          <w:bCs/>
          <w:szCs w:val="32"/>
        </w:rPr>
        <w:t>年一般公共预算财政拨款基本支出</w:t>
      </w:r>
      <w:r>
        <w:rPr>
          <w:rFonts w:hint="eastAsia" w:ascii="仿宋" w:hAnsi="仿宋" w:eastAsia="仿宋" w:cs="仿宋"/>
          <w:b w:val="0"/>
          <w:bCs/>
          <w:szCs w:val="32"/>
          <w:lang w:val="en-US" w:eastAsia="zh-CN"/>
        </w:rPr>
        <w:t>9249.27</w:t>
      </w:r>
      <w:r>
        <w:rPr>
          <w:rFonts w:hint="eastAsia" w:ascii="仿宋" w:hAnsi="仿宋" w:eastAsia="仿宋" w:cs="仿宋"/>
          <w:b w:val="0"/>
          <w:bCs/>
          <w:szCs w:val="32"/>
        </w:rPr>
        <w:t>万元。其中人员经费</w:t>
      </w:r>
      <w:r>
        <w:rPr>
          <w:rFonts w:hint="eastAsia" w:ascii="仿宋" w:hAnsi="仿宋" w:eastAsia="仿宋" w:cs="仿宋"/>
          <w:b w:val="0"/>
          <w:bCs/>
          <w:szCs w:val="32"/>
          <w:lang w:val="en-US" w:eastAsia="zh-CN"/>
        </w:rPr>
        <w:t>8522.42</w:t>
      </w:r>
      <w:r>
        <w:rPr>
          <w:rFonts w:hint="eastAsia" w:ascii="仿宋" w:hAnsi="仿宋" w:eastAsia="仿宋" w:cs="仿宋"/>
          <w:b w:val="0"/>
          <w:bCs/>
          <w:szCs w:val="32"/>
        </w:rPr>
        <w:t>万元，公用经费</w:t>
      </w:r>
      <w:r>
        <w:rPr>
          <w:rFonts w:hint="eastAsia" w:ascii="仿宋" w:hAnsi="仿宋" w:eastAsia="仿宋" w:cs="仿宋"/>
          <w:b w:val="0"/>
          <w:bCs/>
          <w:szCs w:val="32"/>
          <w:lang w:val="en-US" w:eastAsia="zh-CN"/>
        </w:rPr>
        <w:t>726.85</w:t>
      </w:r>
      <w:r>
        <w:rPr>
          <w:rFonts w:hint="eastAsia" w:ascii="仿宋" w:hAnsi="仿宋" w:eastAsia="仿宋" w:cs="仿宋"/>
          <w:b w:val="0"/>
          <w:bCs/>
          <w:szCs w:val="32"/>
        </w:rPr>
        <w:t>万元。</w:t>
      </w:r>
    </w:p>
    <w:p>
      <w:pPr>
        <w:pStyle w:val="9"/>
        <w:numPr>
          <w:ilvl w:val="0"/>
          <w:numId w:val="2"/>
        </w:numPr>
        <w:spacing w:line="520" w:lineRule="exact"/>
        <w:ind w:firstLine="634"/>
        <w:rPr>
          <w:rFonts w:ascii="Times New Roman" w:hAnsi="Times New Roman" w:eastAsia="楷体_GB2312"/>
          <w:b/>
          <w:szCs w:val="32"/>
        </w:rPr>
      </w:pPr>
      <w:r>
        <w:rPr>
          <w:rFonts w:ascii="Times New Roman" w:hAnsi="Times New Roman" w:eastAsia="楷体_GB2312"/>
          <w:b/>
          <w:szCs w:val="32"/>
        </w:rPr>
        <w:t>项目支出情况</w:t>
      </w:r>
    </w:p>
    <w:p>
      <w:pPr>
        <w:pStyle w:val="9"/>
        <w:spacing w:line="540" w:lineRule="exact"/>
        <w:ind w:firstLine="640"/>
        <w:rPr>
          <w:rFonts w:hint="eastAsia" w:ascii="仿宋" w:hAnsi="仿宋" w:eastAsia="仿宋" w:cs="仿宋"/>
          <w:b w:val="0"/>
          <w:bCs/>
          <w:szCs w:val="32"/>
        </w:rPr>
      </w:pPr>
      <w:r>
        <w:rPr>
          <w:rFonts w:hint="eastAsia" w:ascii="仿宋" w:hAnsi="仿宋" w:eastAsia="仿宋" w:cs="仿宋"/>
          <w:b w:val="0"/>
          <w:bCs/>
          <w:szCs w:val="32"/>
        </w:rPr>
        <w:t>202</w:t>
      </w:r>
      <w:r>
        <w:rPr>
          <w:rFonts w:hint="eastAsia" w:ascii="仿宋" w:hAnsi="仿宋" w:eastAsia="仿宋" w:cs="仿宋"/>
          <w:b w:val="0"/>
          <w:bCs/>
          <w:szCs w:val="32"/>
          <w:lang w:val="en-US" w:eastAsia="zh-CN"/>
        </w:rPr>
        <w:t>5</w:t>
      </w:r>
      <w:r>
        <w:rPr>
          <w:rFonts w:hint="eastAsia" w:ascii="仿宋" w:hAnsi="仿宋" w:eastAsia="仿宋" w:cs="仿宋"/>
          <w:b w:val="0"/>
          <w:bCs/>
          <w:szCs w:val="32"/>
        </w:rPr>
        <w:t>年项目支出</w:t>
      </w:r>
      <w:r>
        <w:rPr>
          <w:rFonts w:hint="eastAsia" w:ascii="仿宋" w:hAnsi="仿宋" w:eastAsia="仿宋" w:cs="仿宋"/>
          <w:b w:val="0"/>
          <w:bCs/>
          <w:szCs w:val="32"/>
          <w:lang w:val="en-US" w:eastAsia="zh-CN"/>
        </w:rPr>
        <w:t>33048.29万元，其中</w:t>
      </w:r>
      <w:r>
        <w:rPr>
          <w:rFonts w:hint="eastAsia" w:ascii="仿宋" w:hAnsi="仿宋" w:eastAsia="仿宋" w:cs="仿宋"/>
          <w:b w:val="0"/>
          <w:bCs/>
          <w:szCs w:val="32"/>
        </w:rPr>
        <w:t>一般公共预算项目支出</w:t>
      </w:r>
      <w:r>
        <w:rPr>
          <w:rFonts w:hint="eastAsia" w:ascii="仿宋" w:hAnsi="仿宋" w:eastAsia="仿宋" w:cs="仿宋"/>
          <w:b w:val="0"/>
          <w:bCs/>
          <w:szCs w:val="32"/>
          <w:lang w:val="en-US" w:eastAsia="zh-CN"/>
        </w:rPr>
        <w:t>21165.01</w:t>
      </w:r>
      <w:r>
        <w:rPr>
          <w:rFonts w:hint="eastAsia" w:ascii="仿宋" w:hAnsi="仿宋" w:eastAsia="仿宋" w:cs="仿宋"/>
          <w:b w:val="0"/>
          <w:bCs/>
          <w:szCs w:val="32"/>
        </w:rPr>
        <w:t>万元。</w:t>
      </w:r>
    </w:p>
    <w:p>
      <w:pPr>
        <w:pStyle w:val="9"/>
        <w:spacing w:line="540" w:lineRule="exact"/>
        <w:ind w:firstLine="640"/>
        <w:rPr>
          <w:rFonts w:hint="eastAsia" w:ascii="仿宋" w:hAnsi="仿宋" w:eastAsia="仿宋" w:cs="仿宋"/>
          <w:b w:val="0"/>
          <w:bCs/>
          <w:szCs w:val="32"/>
        </w:rPr>
      </w:pPr>
      <w:r>
        <w:rPr>
          <w:rFonts w:hint="eastAsia" w:ascii="仿宋" w:hAnsi="仿宋" w:eastAsia="仿宋" w:cs="仿宋"/>
          <w:b w:val="0"/>
          <w:bCs/>
          <w:szCs w:val="32"/>
          <w:lang w:eastAsia="zh-CN"/>
        </w:rPr>
        <w:t>益阳市卫生健康委员会</w:t>
      </w:r>
      <w:r>
        <w:rPr>
          <w:rFonts w:hint="eastAsia" w:ascii="仿宋" w:hAnsi="仿宋" w:eastAsia="仿宋" w:cs="仿宋"/>
          <w:b w:val="0"/>
          <w:bCs/>
          <w:szCs w:val="32"/>
        </w:rPr>
        <w:t>2025年一般公共预算项目支出3882.12万元。业务工作经费90.12万元，年初-计生协会专项经费31.77万元，年初-城区病媒生物防治专项资金56.1万元，年初-退休厅级干部保健16.32万元，年初-全市处级以上干部体检经费166.98万元，重大公卫、医疗服务和保障能力提升等卫生健康项目130.63万元，年初-非税征收成本支出专项61.2万元，城镇独生子女父母奖励3229万元，其益阳市卫生健康高水平创新人才经费100万元。</w:t>
      </w:r>
    </w:p>
    <w:p>
      <w:pPr>
        <w:pStyle w:val="9"/>
        <w:spacing w:line="540" w:lineRule="exact"/>
        <w:ind w:firstLine="640"/>
        <w:rPr>
          <w:rFonts w:hint="eastAsia" w:ascii="仿宋" w:hAnsi="仿宋" w:eastAsia="仿宋"/>
          <w:lang w:eastAsia="zh-CN"/>
        </w:rPr>
      </w:pPr>
      <w:r>
        <w:rPr>
          <w:rFonts w:hint="eastAsia" w:ascii="仿宋" w:hAnsi="仿宋" w:eastAsia="仿宋" w:cs="仿宋"/>
          <w:b w:val="0"/>
          <w:bCs/>
          <w:szCs w:val="32"/>
          <w:lang w:eastAsia="zh-CN"/>
        </w:rPr>
        <w:t>益阳市疾病预防控制中心</w:t>
      </w:r>
      <w:r>
        <w:rPr>
          <w:rFonts w:hint="eastAsia" w:ascii="仿宋" w:hAnsi="仿宋" w:eastAsia="仿宋"/>
        </w:rPr>
        <w:t>市级项目支出155.28万元，主要包括疫苗冷链运输费15万元和特殊人才保障经费支出140.28万元，中央和省级项目支出558.7万元</w:t>
      </w:r>
      <w:r>
        <w:rPr>
          <w:rFonts w:hint="eastAsia" w:ascii="仿宋" w:hAnsi="仿宋" w:eastAsia="仿宋"/>
          <w:lang w:eastAsia="zh-CN"/>
        </w:rPr>
        <w:t>；</w:t>
      </w:r>
    </w:p>
    <w:p>
      <w:pPr>
        <w:pStyle w:val="9"/>
        <w:spacing w:line="540" w:lineRule="exact"/>
        <w:ind w:firstLine="640"/>
        <w:rPr>
          <w:rFonts w:hint="eastAsia" w:ascii="仿宋" w:hAnsi="仿宋" w:eastAsia="仿宋"/>
          <w:lang w:eastAsia="zh-CN"/>
        </w:rPr>
      </w:pPr>
      <w:r>
        <w:rPr>
          <w:rFonts w:hint="eastAsia" w:ascii="仿宋" w:hAnsi="仿宋" w:eastAsia="仿宋"/>
          <w:lang w:eastAsia="zh-CN"/>
        </w:rPr>
        <w:t>益阳市中心医院2025年，一般公共预算项目中项目支出11775.21万元，主要用于以下方面：科学技术支出26.03万元，占0.22%；引进人才支出274.5万元，占2.33%；离退休支出11.12万元，占0.09%；死亡抚恤支出12.96万元，占0.11%；综合医院支出10159.38万元，占86.28%；其他公立医院支出1191.58万元，占10.12%；重大公共卫生服务支出99.64万元，占0.85%。</w:t>
      </w:r>
    </w:p>
    <w:p>
      <w:pPr>
        <w:pStyle w:val="9"/>
        <w:widowControl w:val="0"/>
        <w:numPr>
          <w:ilvl w:val="0"/>
          <w:numId w:val="0"/>
        </w:numPr>
        <w:spacing w:line="520" w:lineRule="exact"/>
        <w:ind w:firstLine="643" w:firstLineChars="200"/>
        <w:jc w:val="both"/>
        <w:rPr>
          <w:rFonts w:ascii="Times New Roman" w:hAnsi="Times New Roman" w:eastAsia="楷体_GB2312"/>
          <w:b/>
          <w:szCs w:val="32"/>
        </w:rPr>
      </w:pPr>
      <w:r>
        <w:rPr>
          <w:rFonts w:hint="eastAsia" w:ascii="Times New Roman" w:hAnsi="Times New Roman" w:eastAsia="楷体_GB2312"/>
          <w:b/>
          <w:szCs w:val="32"/>
          <w:lang w:val="en-US" w:eastAsia="zh-CN"/>
        </w:rPr>
        <w:t xml:space="preserve">  </w:t>
      </w:r>
      <w:r>
        <w:rPr>
          <w:rFonts w:hint="eastAsia" w:ascii="仿宋" w:hAnsi="仿宋" w:eastAsia="仿宋" w:cs="仿宋"/>
          <w:kern w:val="2"/>
          <w:sz w:val="32"/>
          <w:szCs w:val="32"/>
          <w:lang w:val="en-US" w:eastAsia="zh-CN" w:bidi="ar-SA"/>
        </w:rPr>
        <w:t>益阳市妇幼保健院2025年本部门项目支出预算986.45万元，主要是部门为完成特定行政工作任务或事业发展目标而发生的支出，包括妇幼公共卫生专项业务支出、重大传染病防控项目支出、公立医院综合改革项目支出等，主要用于全市妇幼公共卫生业务工作培训、妇幼公共卫生项目下区县督导、阻断艾梅乙母婴传播工作、公立医院设备购置及人员培训等方面。</w:t>
      </w:r>
    </w:p>
    <w:p>
      <w:pPr>
        <w:keepNext w:val="0"/>
        <w:keepLines w:val="0"/>
        <w:pageBreakBefore w:val="0"/>
        <w:widowControl w:val="0"/>
        <w:kinsoku/>
        <w:wordWrap/>
        <w:overflowPunct/>
        <w:topLinePunct/>
        <w:autoSpaceDE w:val="0"/>
        <w:autoSpaceDN w:val="0"/>
        <w:bidi w:val="0"/>
        <w:adjustRightInd/>
        <w:snapToGrid/>
        <w:spacing w:line="620" w:lineRule="exact"/>
        <w:ind w:left="0" w:right="0" w:firstLine="643" w:firstLineChars="200"/>
        <w:jc w:val="both"/>
        <w:textAlignment w:val="baseline"/>
        <w:rPr>
          <w:rFonts w:hint="eastAsia" w:ascii="仿宋" w:hAnsi="仿宋" w:eastAsia="仿宋" w:cs="仿宋"/>
          <w:i w:val="0"/>
          <w:iCs w:val="0"/>
          <w:caps w:val="0"/>
          <w:color w:val="000000"/>
          <w:spacing w:val="0"/>
          <w:sz w:val="32"/>
          <w:szCs w:val="32"/>
          <w:lang w:val="en-US" w:eastAsia="zh-CN"/>
        </w:rPr>
      </w:pPr>
      <w:r>
        <w:rPr>
          <w:rFonts w:hint="eastAsia" w:ascii="Times New Roman" w:hAnsi="Times New Roman" w:eastAsia="楷体_GB2312"/>
          <w:b/>
          <w:szCs w:val="32"/>
          <w:lang w:val="en-US" w:eastAsia="zh-CN"/>
        </w:rPr>
        <w:t xml:space="preserve"> </w:t>
      </w:r>
      <w:r>
        <w:rPr>
          <w:rFonts w:hint="eastAsia" w:ascii="仿宋_GB2312" w:hAnsi="仿宋_GB2312" w:eastAsia="仿宋_GB2312" w:cs="仿宋_GB2312"/>
          <w:snapToGrid/>
          <w:color w:val="000000"/>
          <w:spacing w:val="0"/>
          <w:position w:val="0"/>
          <w:sz w:val="32"/>
          <w:szCs w:val="32"/>
          <w:lang w:val="en-US" w:eastAsia="zh-CN"/>
        </w:rPr>
        <w:t>益阳市中心血站</w:t>
      </w:r>
      <w:r>
        <w:rPr>
          <w:rFonts w:hint="eastAsia" w:ascii="仿宋_GB2312" w:hAnsi="仿宋_GB2312" w:eastAsia="仿宋_GB2312" w:cs="仿宋_GB2312"/>
          <w:snapToGrid/>
          <w:color w:val="000000"/>
          <w:spacing w:val="0"/>
          <w:position w:val="0"/>
          <w:sz w:val="32"/>
          <w:szCs w:val="32"/>
        </w:rPr>
        <w:t>202</w:t>
      </w:r>
      <w:r>
        <w:rPr>
          <w:rFonts w:hint="eastAsia" w:ascii="仿宋_GB2312" w:hAnsi="仿宋_GB2312" w:eastAsia="仿宋_GB2312" w:cs="仿宋_GB2312"/>
          <w:snapToGrid/>
          <w:color w:val="000000"/>
          <w:spacing w:val="0"/>
          <w:position w:val="0"/>
          <w:sz w:val="32"/>
          <w:szCs w:val="32"/>
          <w:lang w:val="en-US" w:eastAsia="zh-CN"/>
        </w:rPr>
        <w:t>5</w:t>
      </w:r>
      <w:r>
        <w:rPr>
          <w:rFonts w:hint="eastAsia" w:ascii="仿宋_GB2312" w:hAnsi="仿宋_GB2312" w:eastAsia="仿宋_GB2312" w:cs="仿宋_GB2312"/>
          <w:snapToGrid/>
          <w:color w:val="000000"/>
          <w:spacing w:val="0"/>
          <w:position w:val="0"/>
          <w:sz w:val="32"/>
          <w:szCs w:val="32"/>
        </w:rPr>
        <w:t>年本单位项目支出预算</w:t>
      </w:r>
      <w:r>
        <w:rPr>
          <w:rFonts w:hint="eastAsia" w:ascii="仿宋_GB2312" w:hAnsi="仿宋_GB2312" w:eastAsia="仿宋_GB2312" w:cs="仿宋_GB2312"/>
          <w:snapToGrid/>
          <w:color w:val="000000"/>
          <w:spacing w:val="0"/>
          <w:position w:val="0"/>
          <w:sz w:val="32"/>
          <w:szCs w:val="32"/>
          <w:lang w:val="en-US" w:eastAsia="zh-CN"/>
        </w:rPr>
        <w:t>2471.57</w:t>
      </w:r>
      <w:r>
        <w:rPr>
          <w:rFonts w:hint="eastAsia" w:ascii="仿宋_GB2312" w:hAnsi="仿宋_GB2312" w:eastAsia="仿宋_GB2312" w:cs="仿宋_GB2312"/>
          <w:snapToGrid/>
          <w:color w:val="000000"/>
          <w:spacing w:val="0"/>
          <w:position w:val="0"/>
          <w:sz w:val="32"/>
          <w:szCs w:val="32"/>
        </w:rPr>
        <w:t>万元，主要用</w:t>
      </w:r>
      <w:r>
        <w:rPr>
          <w:rFonts w:hint="eastAsia" w:ascii="仿宋_GB2312" w:hAnsi="仿宋_GB2312" w:eastAsia="仿宋_GB2312" w:cs="仿宋_GB2312"/>
          <w:snapToGrid/>
          <w:color w:val="000000"/>
          <w:spacing w:val="0"/>
          <w:position w:val="0"/>
          <w:sz w:val="32"/>
          <w:szCs w:val="32"/>
          <w:lang w:val="en-US" w:eastAsia="zh-CN"/>
        </w:rPr>
        <w:t>于：1、血液的采集、血液产品制备、储存、运输、检测、质量控制；2、献血者的宣传、发动、招募；3、无偿献血者用血报销，无偿献血先进单位、个人的表彰；4、工作人员（含临聘人员）、退休职工的的工资福利；5、党建、工会活动经费；6、办公费用、培训费用；7、维持单位正常运营的其它费用：水电、维修、创文创卫等；8、</w:t>
      </w:r>
      <w:r>
        <w:rPr>
          <w:rFonts w:hint="eastAsia" w:ascii="仿宋" w:hAnsi="仿宋" w:eastAsia="仿宋" w:cs="仿宋"/>
          <w:i w:val="0"/>
          <w:iCs w:val="0"/>
          <w:caps w:val="0"/>
          <w:color w:val="000000"/>
          <w:spacing w:val="0"/>
          <w:sz w:val="32"/>
          <w:szCs w:val="32"/>
          <w:lang w:eastAsia="zh-CN"/>
        </w:rPr>
        <w:t>临床用血质量控制中心</w:t>
      </w:r>
      <w:r>
        <w:rPr>
          <w:rFonts w:hint="eastAsia" w:ascii="仿宋" w:hAnsi="仿宋" w:eastAsia="仿宋" w:cs="仿宋"/>
          <w:i w:val="0"/>
          <w:iCs w:val="0"/>
          <w:caps w:val="0"/>
          <w:color w:val="000000"/>
          <w:spacing w:val="0"/>
          <w:sz w:val="32"/>
          <w:szCs w:val="32"/>
          <w:lang w:val="en-US" w:eastAsia="zh-CN"/>
        </w:rPr>
        <w:t>年度检查培训费用。</w:t>
      </w:r>
    </w:p>
    <w:p>
      <w:pPr>
        <w:pStyle w:val="3"/>
        <w:keepNext w:val="0"/>
        <w:keepLines w:val="0"/>
        <w:pageBreakBefore w:val="0"/>
        <w:kinsoku/>
        <w:wordWrap/>
        <w:topLinePunct w:val="0"/>
        <w:autoSpaceDE/>
        <w:autoSpaceDN/>
        <w:bidi w:val="0"/>
        <w:spacing w:line="540" w:lineRule="exact"/>
        <w:ind w:left="0" w:leftChars="0" w:firstLine="640" w:firstLineChars="200"/>
        <w:textAlignment w:val="auto"/>
        <w:rPr>
          <w:rFonts w:hint="default" w:ascii="仿宋_GB2312" w:hAnsi="仿宋" w:eastAsia="仿宋_GB2312" w:cs="Times New Roman"/>
          <w:kern w:val="2"/>
          <w:sz w:val="32"/>
          <w:szCs w:val="32"/>
          <w:highlight w:val="none"/>
          <w:lang w:val="en-US" w:eastAsia="zh-CN" w:bidi="ar-SA"/>
        </w:rPr>
      </w:pPr>
      <w:r>
        <w:rPr>
          <w:rFonts w:hint="eastAsia" w:hAnsi="仿宋" w:eastAsia="仿宋_GB2312"/>
          <w:kern w:val="2"/>
          <w:sz w:val="32"/>
          <w:szCs w:val="32"/>
          <w:highlight w:val="none"/>
          <w:lang w:val="en-US" w:eastAsia="zh-CN" w:bidi="ar-SA"/>
        </w:rPr>
        <w:t>益阳市突发公共卫生事件应急办公室</w:t>
      </w:r>
      <w:r>
        <w:rPr>
          <w:rFonts w:hint="eastAsia" w:ascii="仿宋_GB2312" w:hAnsi="仿宋" w:eastAsia="仿宋_GB2312"/>
          <w:kern w:val="2"/>
          <w:sz w:val="32"/>
          <w:szCs w:val="32"/>
          <w:highlight w:val="none"/>
          <w:lang w:val="en-US" w:eastAsia="zh-CN" w:bidi="ar-SA"/>
        </w:rPr>
        <w:t>年初-应急救援平台运行补助</w:t>
      </w:r>
      <w:r>
        <w:rPr>
          <w:rFonts w:hint="eastAsia" w:hAnsi="仿宋"/>
          <w:kern w:val="2"/>
          <w:sz w:val="32"/>
          <w:szCs w:val="32"/>
          <w:highlight w:val="none"/>
          <w:lang w:val="en-US" w:eastAsia="zh-CN" w:bidi="ar-SA"/>
        </w:rPr>
        <w:t>项目</w:t>
      </w:r>
      <w:r>
        <w:rPr>
          <w:rFonts w:hint="eastAsia" w:ascii="仿宋_GB2312" w:hAnsi="仿宋" w:eastAsia="仿宋_GB2312"/>
          <w:kern w:val="2"/>
          <w:sz w:val="32"/>
          <w:szCs w:val="32"/>
          <w:highlight w:val="none"/>
          <w:lang w:val="en-US" w:eastAsia="zh-CN" w:bidi="ar-SA"/>
        </w:rPr>
        <w:t>：资金规模</w:t>
      </w:r>
      <w:r>
        <w:rPr>
          <w:rFonts w:hint="eastAsia" w:hAnsi="仿宋"/>
          <w:kern w:val="2"/>
          <w:sz w:val="32"/>
          <w:szCs w:val="32"/>
          <w:highlight w:val="none"/>
          <w:lang w:val="en-US" w:eastAsia="zh-CN" w:bidi="ar-SA"/>
        </w:rPr>
        <w:t>7.92</w:t>
      </w:r>
      <w:r>
        <w:rPr>
          <w:rFonts w:hint="eastAsia" w:ascii="仿宋_GB2312" w:hAnsi="仿宋" w:eastAsia="仿宋_GB2312"/>
          <w:kern w:val="2"/>
          <w:sz w:val="32"/>
          <w:szCs w:val="32"/>
          <w:highlight w:val="none"/>
          <w:lang w:val="en-US" w:eastAsia="zh-CN" w:bidi="ar-SA"/>
        </w:rPr>
        <w:t>万元，其中：公用经费</w:t>
      </w:r>
      <w:r>
        <w:rPr>
          <w:rFonts w:hint="eastAsia" w:hAnsi="仿宋"/>
          <w:kern w:val="2"/>
          <w:sz w:val="32"/>
          <w:szCs w:val="32"/>
          <w:highlight w:val="none"/>
          <w:lang w:val="en-US" w:eastAsia="zh-CN" w:bidi="ar-SA"/>
        </w:rPr>
        <w:t>7.92</w:t>
      </w:r>
      <w:r>
        <w:rPr>
          <w:rFonts w:hint="eastAsia" w:ascii="仿宋_GB2312" w:hAnsi="仿宋" w:eastAsia="仿宋_GB2312"/>
          <w:kern w:val="2"/>
          <w:sz w:val="32"/>
          <w:szCs w:val="32"/>
          <w:highlight w:val="none"/>
          <w:lang w:val="en-US" w:eastAsia="zh-CN" w:bidi="ar-SA"/>
        </w:rPr>
        <w:t>万元。项目实施期限：202</w:t>
      </w:r>
      <w:r>
        <w:rPr>
          <w:rFonts w:hint="eastAsia" w:hAnsi="仿宋"/>
          <w:kern w:val="2"/>
          <w:sz w:val="32"/>
          <w:szCs w:val="32"/>
          <w:highlight w:val="none"/>
          <w:lang w:val="en-US" w:eastAsia="zh-CN" w:bidi="ar-SA"/>
        </w:rPr>
        <w:t>5</w:t>
      </w:r>
      <w:r>
        <w:rPr>
          <w:rFonts w:hint="eastAsia" w:ascii="仿宋_GB2312" w:hAnsi="仿宋" w:eastAsia="仿宋_GB2312"/>
          <w:kern w:val="2"/>
          <w:sz w:val="32"/>
          <w:szCs w:val="32"/>
          <w:highlight w:val="none"/>
          <w:lang w:val="en-US" w:eastAsia="zh-CN" w:bidi="ar-SA"/>
        </w:rPr>
        <w:t>年。项目内容：有效防范和坚决遏制重特大突发公共卫生事件为重点，不断完善“互联网+医疗急救”工作、卫生应急队伍建设、开展卫生应急培训和演练</w:t>
      </w:r>
      <w:r>
        <w:rPr>
          <w:rFonts w:hint="eastAsia" w:hAnsi="仿宋"/>
          <w:kern w:val="2"/>
          <w:sz w:val="32"/>
          <w:szCs w:val="32"/>
          <w:highlight w:val="none"/>
          <w:lang w:val="en-US" w:eastAsia="zh-CN" w:bidi="ar-SA"/>
        </w:rPr>
        <w:t>工作。</w:t>
      </w:r>
      <w:r>
        <w:rPr>
          <w:rFonts w:hint="eastAsia" w:ascii="仿宋_GB2312" w:hAnsi="仿宋" w:eastAsia="仿宋_GB2312"/>
          <w:kern w:val="2"/>
          <w:sz w:val="32"/>
          <w:szCs w:val="32"/>
          <w:highlight w:val="none"/>
          <w:lang w:val="en-US" w:eastAsia="zh-CN" w:bidi="ar-SA"/>
        </w:rPr>
        <w:t>202</w:t>
      </w:r>
      <w:r>
        <w:rPr>
          <w:rFonts w:hint="eastAsia" w:ascii="仿宋_GB2312" w:hAnsi="仿宋"/>
          <w:kern w:val="2"/>
          <w:sz w:val="32"/>
          <w:szCs w:val="32"/>
          <w:highlight w:val="none"/>
          <w:lang w:val="en-US" w:eastAsia="zh-CN" w:bidi="ar-SA"/>
        </w:rPr>
        <w:t>5</w:t>
      </w:r>
      <w:r>
        <w:rPr>
          <w:rFonts w:hint="eastAsia" w:ascii="仿宋_GB2312" w:hAnsi="仿宋" w:eastAsia="仿宋_GB2312"/>
          <w:kern w:val="2"/>
          <w:sz w:val="32"/>
          <w:szCs w:val="32"/>
          <w:highlight w:val="none"/>
          <w:lang w:val="en-US" w:eastAsia="zh-CN" w:bidi="ar-SA"/>
        </w:rPr>
        <w:t>年，我</w:t>
      </w:r>
      <w:r>
        <w:rPr>
          <w:rFonts w:hint="eastAsia" w:ascii="仿宋_GB2312" w:hAnsi="仿宋"/>
          <w:kern w:val="2"/>
          <w:sz w:val="32"/>
          <w:szCs w:val="32"/>
          <w:highlight w:val="none"/>
          <w:lang w:val="en-US" w:eastAsia="zh-CN" w:bidi="ar-SA"/>
        </w:rPr>
        <w:t>单位</w:t>
      </w:r>
      <w:r>
        <w:rPr>
          <w:rFonts w:hint="eastAsia" w:ascii="仿宋_GB2312" w:hAnsi="仿宋" w:eastAsia="仿宋_GB2312"/>
          <w:kern w:val="2"/>
          <w:sz w:val="32"/>
          <w:szCs w:val="32"/>
          <w:highlight w:val="none"/>
          <w:lang w:val="en-US" w:eastAsia="zh-CN" w:bidi="ar-SA"/>
        </w:rPr>
        <w:t>年初-应急救援平台运行补助资金支出共计</w:t>
      </w:r>
      <w:r>
        <w:rPr>
          <w:rFonts w:hint="eastAsia" w:ascii="仿宋_GB2312" w:hAnsi="仿宋" w:eastAsia="仿宋_GB2312" w:cs="Times New Roman"/>
          <w:kern w:val="2"/>
          <w:sz w:val="32"/>
          <w:szCs w:val="32"/>
          <w:highlight w:val="none"/>
          <w:lang w:val="en-US" w:eastAsia="zh-CN" w:bidi="ar-SA"/>
        </w:rPr>
        <w:t>7.92</w:t>
      </w:r>
      <w:r>
        <w:rPr>
          <w:rFonts w:hint="eastAsia" w:ascii="仿宋_GB2312" w:hAnsi="仿宋" w:eastAsia="仿宋_GB2312"/>
          <w:kern w:val="2"/>
          <w:sz w:val="32"/>
          <w:szCs w:val="32"/>
          <w:highlight w:val="none"/>
          <w:lang w:val="en-US" w:eastAsia="zh-CN" w:bidi="ar-SA"/>
        </w:rPr>
        <w:t>万元，使用率达到100%，其中：商品服务支出</w:t>
      </w:r>
      <w:r>
        <w:rPr>
          <w:rFonts w:hint="eastAsia" w:ascii="仿宋_GB2312" w:hAnsi="仿宋" w:eastAsia="仿宋_GB2312" w:cs="Times New Roman"/>
          <w:kern w:val="2"/>
          <w:sz w:val="32"/>
          <w:szCs w:val="32"/>
          <w:highlight w:val="none"/>
          <w:lang w:val="en-US" w:eastAsia="zh-CN" w:bidi="ar-SA"/>
        </w:rPr>
        <w:t>7.92</w:t>
      </w:r>
      <w:r>
        <w:rPr>
          <w:rFonts w:hint="eastAsia" w:ascii="仿宋_GB2312" w:hAnsi="仿宋" w:eastAsia="仿宋_GB2312"/>
          <w:kern w:val="2"/>
          <w:sz w:val="32"/>
          <w:szCs w:val="32"/>
          <w:highlight w:val="none"/>
          <w:lang w:val="en-US" w:eastAsia="zh-CN" w:bidi="ar-SA"/>
        </w:rPr>
        <w:t>万元，占项目总支出的100%。</w:t>
      </w:r>
      <w:r>
        <w:rPr>
          <w:rFonts w:hint="eastAsia" w:ascii="仿宋_GB2312" w:hAnsi="仿宋" w:eastAsia="仿宋_GB2312" w:cs="Times New Roman"/>
          <w:kern w:val="2"/>
          <w:sz w:val="32"/>
          <w:szCs w:val="32"/>
          <w:highlight w:val="none"/>
          <w:lang w:val="en-US" w:eastAsia="zh-CN" w:bidi="ar-SA"/>
        </w:rPr>
        <w:t>重大公共卫生应急经费项目</w:t>
      </w:r>
      <w:r>
        <w:rPr>
          <w:rFonts w:hint="eastAsia" w:ascii="仿宋_GB2312" w:hAnsi="仿宋" w:eastAsia="仿宋_GB2312"/>
          <w:kern w:val="2"/>
          <w:sz w:val="32"/>
          <w:szCs w:val="32"/>
          <w:highlight w:val="none"/>
          <w:lang w:val="en-US" w:eastAsia="zh-CN" w:bidi="ar-SA"/>
        </w:rPr>
        <w:t>：资金规模</w:t>
      </w:r>
      <w:r>
        <w:rPr>
          <w:rFonts w:hint="eastAsia" w:ascii="仿宋_GB2312" w:hAnsi="仿宋"/>
          <w:kern w:val="2"/>
          <w:sz w:val="32"/>
          <w:szCs w:val="32"/>
          <w:highlight w:val="none"/>
          <w:lang w:val="en-US" w:eastAsia="zh-CN" w:bidi="ar-SA"/>
        </w:rPr>
        <w:t>60</w:t>
      </w:r>
      <w:r>
        <w:rPr>
          <w:rFonts w:hint="eastAsia" w:ascii="仿宋_GB2312" w:hAnsi="仿宋" w:eastAsia="仿宋_GB2312"/>
          <w:kern w:val="2"/>
          <w:sz w:val="32"/>
          <w:szCs w:val="32"/>
          <w:highlight w:val="none"/>
          <w:lang w:val="en-US" w:eastAsia="zh-CN" w:bidi="ar-SA"/>
        </w:rPr>
        <w:t>万元。项目实施期限：202</w:t>
      </w:r>
      <w:r>
        <w:rPr>
          <w:rFonts w:hint="eastAsia" w:ascii="仿宋_GB2312" w:hAnsi="仿宋"/>
          <w:kern w:val="2"/>
          <w:sz w:val="32"/>
          <w:szCs w:val="32"/>
          <w:highlight w:val="none"/>
          <w:lang w:val="en-US" w:eastAsia="zh-CN" w:bidi="ar-SA"/>
        </w:rPr>
        <w:t>5</w:t>
      </w:r>
      <w:r>
        <w:rPr>
          <w:rFonts w:hint="eastAsia" w:ascii="仿宋_GB2312" w:hAnsi="仿宋" w:eastAsia="仿宋_GB2312"/>
          <w:kern w:val="2"/>
          <w:sz w:val="32"/>
          <w:szCs w:val="32"/>
          <w:highlight w:val="none"/>
          <w:lang w:val="en-US" w:eastAsia="zh-CN" w:bidi="ar-SA"/>
        </w:rPr>
        <w:t>年。项目内容：开展卫生应急重大项目建设，加强卫生应急队伍建设，平时做好各项卫生应急准备、培训、演练和120指挥调度等各项工作。202</w:t>
      </w:r>
      <w:r>
        <w:rPr>
          <w:rFonts w:hint="eastAsia" w:ascii="仿宋_GB2312" w:hAnsi="仿宋"/>
          <w:kern w:val="2"/>
          <w:sz w:val="32"/>
          <w:szCs w:val="32"/>
          <w:highlight w:val="none"/>
          <w:lang w:val="en-US" w:eastAsia="zh-CN" w:bidi="ar-SA"/>
        </w:rPr>
        <w:t>5</w:t>
      </w:r>
      <w:r>
        <w:rPr>
          <w:rFonts w:hint="eastAsia" w:ascii="仿宋_GB2312" w:hAnsi="仿宋" w:eastAsia="仿宋_GB2312"/>
          <w:kern w:val="2"/>
          <w:sz w:val="32"/>
          <w:szCs w:val="32"/>
          <w:highlight w:val="none"/>
          <w:lang w:val="en-US" w:eastAsia="zh-CN" w:bidi="ar-SA"/>
        </w:rPr>
        <w:t>年，我</w:t>
      </w:r>
      <w:r>
        <w:rPr>
          <w:rFonts w:hint="eastAsia" w:ascii="仿宋_GB2312" w:hAnsi="仿宋"/>
          <w:kern w:val="2"/>
          <w:sz w:val="32"/>
          <w:szCs w:val="32"/>
          <w:highlight w:val="none"/>
          <w:lang w:val="en-US" w:eastAsia="zh-CN" w:bidi="ar-SA"/>
        </w:rPr>
        <w:t>单位</w:t>
      </w:r>
      <w:r>
        <w:rPr>
          <w:rFonts w:hint="eastAsia" w:ascii="仿宋_GB2312" w:hAnsi="仿宋" w:eastAsia="仿宋_GB2312" w:cs="Times New Roman"/>
          <w:kern w:val="2"/>
          <w:sz w:val="32"/>
          <w:szCs w:val="32"/>
          <w:highlight w:val="none"/>
          <w:lang w:val="en-US" w:eastAsia="zh-CN" w:bidi="ar-SA"/>
        </w:rPr>
        <w:t>重大公共卫生应急经费</w:t>
      </w:r>
      <w:r>
        <w:rPr>
          <w:rFonts w:hint="eastAsia" w:ascii="仿宋_GB2312" w:hAnsi="仿宋" w:eastAsia="仿宋_GB2312"/>
          <w:kern w:val="2"/>
          <w:sz w:val="32"/>
          <w:szCs w:val="32"/>
          <w:highlight w:val="none"/>
          <w:lang w:val="en-US" w:eastAsia="zh-CN" w:bidi="ar-SA"/>
        </w:rPr>
        <w:t>资金支出共计</w:t>
      </w:r>
      <w:r>
        <w:rPr>
          <w:rFonts w:hint="eastAsia" w:ascii="仿宋_GB2312" w:hAnsi="仿宋"/>
          <w:kern w:val="2"/>
          <w:sz w:val="32"/>
          <w:szCs w:val="32"/>
          <w:highlight w:val="none"/>
          <w:lang w:val="en-US" w:eastAsia="zh-CN" w:bidi="ar-SA"/>
        </w:rPr>
        <w:t>60</w:t>
      </w:r>
      <w:r>
        <w:rPr>
          <w:rFonts w:hint="eastAsia" w:ascii="仿宋_GB2312" w:hAnsi="仿宋" w:eastAsia="仿宋_GB2312"/>
          <w:kern w:val="2"/>
          <w:sz w:val="32"/>
          <w:szCs w:val="32"/>
          <w:highlight w:val="none"/>
          <w:lang w:val="en-US" w:eastAsia="zh-CN" w:bidi="ar-SA"/>
        </w:rPr>
        <w:t>万元，使用率达到100%，其中：商品服务支出</w:t>
      </w:r>
      <w:r>
        <w:rPr>
          <w:rFonts w:hint="eastAsia" w:ascii="仿宋_GB2312" w:hAnsi="仿宋"/>
          <w:kern w:val="2"/>
          <w:sz w:val="32"/>
          <w:szCs w:val="32"/>
          <w:highlight w:val="none"/>
          <w:lang w:val="en-US" w:eastAsia="zh-CN" w:bidi="ar-SA"/>
        </w:rPr>
        <w:t>60</w:t>
      </w:r>
      <w:r>
        <w:rPr>
          <w:rFonts w:hint="eastAsia" w:ascii="仿宋_GB2312" w:hAnsi="仿宋" w:eastAsia="仿宋_GB2312"/>
          <w:kern w:val="2"/>
          <w:sz w:val="32"/>
          <w:szCs w:val="32"/>
          <w:highlight w:val="none"/>
          <w:lang w:val="en-US" w:eastAsia="zh-CN" w:bidi="ar-SA"/>
        </w:rPr>
        <w:t>万元，占项目总支出的100%。</w:t>
      </w:r>
      <w:r>
        <w:rPr>
          <w:rFonts w:hint="eastAsia" w:ascii="仿宋_GB2312" w:hAnsi="仿宋" w:eastAsia="仿宋_GB2312" w:cs="Times New Roman"/>
          <w:kern w:val="2"/>
          <w:sz w:val="32"/>
          <w:szCs w:val="32"/>
          <w:highlight w:val="none"/>
          <w:lang w:val="en-US" w:eastAsia="zh-CN" w:bidi="ar-SA"/>
        </w:rPr>
        <w:t>安可替代专项项目</w:t>
      </w:r>
      <w:r>
        <w:rPr>
          <w:rFonts w:hint="eastAsia" w:ascii="仿宋_GB2312" w:hAnsi="仿宋" w:cs="Times New Roman"/>
          <w:kern w:val="2"/>
          <w:sz w:val="32"/>
          <w:szCs w:val="32"/>
          <w:highlight w:val="none"/>
          <w:lang w:val="en-US" w:eastAsia="zh-CN" w:bidi="ar-SA"/>
        </w:rPr>
        <w:t>：</w:t>
      </w:r>
      <w:r>
        <w:rPr>
          <w:rFonts w:hint="eastAsia" w:ascii="仿宋_GB2312" w:hAnsi="仿宋" w:eastAsia="仿宋_GB2312"/>
          <w:kern w:val="2"/>
          <w:sz w:val="32"/>
          <w:szCs w:val="32"/>
          <w:highlight w:val="none"/>
          <w:lang w:val="en-US" w:eastAsia="zh-CN" w:bidi="ar-SA"/>
        </w:rPr>
        <w:t>资金规模</w:t>
      </w:r>
      <w:r>
        <w:rPr>
          <w:rFonts w:hint="eastAsia" w:ascii="仿宋_GB2312" w:hAnsi="仿宋"/>
          <w:kern w:val="2"/>
          <w:sz w:val="32"/>
          <w:szCs w:val="32"/>
          <w:highlight w:val="none"/>
          <w:lang w:val="en-US" w:eastAsia="zh-CN" w:bidi="ar-SA"/>
        </w:rPr>
        <w:t>0.86</w:t>
      </w:r>
      <w:r>
        <w:rPr>
          <w:rFonts w:hint="eastAsia" w:ascii="仿宋_GB2312" w:hAnsi="仿宋" w:eastAsia="仿宋_GB2312"/>
          <w:kern w:val="2"/>
          <w:sz w:val="32"/>
          <w:szCs w:val="32"/>
          <w:highlight w:val="none"/>
          <w:lang w:val="en-US" w:eastAsia="zh-CN" w:bidi="ar-SA"/>
        </w:rPr>
        <w:t>万元。项目实施期限：202</w:t>
      </w:r>
      <w:r>
        <w:rPr>
          <w:rFonts w:hint="eastAsia" w:ascii="仿宋_GB2312" w:hAnsi="仿宋"/>
          <w:kern w:val="2"/>
          <w:sz w:val="32"/>
          <w:szCs w:val="32"/>
          <w:highlight w:val="none"/>
          <w:lang w:val="en-US" w:eastAsia="zh-CN" w:bidi="ar-SA"/>
        </w:rPr>
        <w:t>5</w:t>
      </w:r>
      <w:r>
        <w:rPr>
          <w:rFonts w:hint="eastAsia" w:ascii="仿宋_GB2312" w:hAnsi="仿宋" w:eastAsia="仿宋_GB2312"/>
          <w:kern w:val="2"/>
          <w:sz w:val="32"/>
          <w:szCs w:val="32"/>
          <w:highlight w:val="none"/>
          <w:lang w:val="en-US" w:eastAsia="zh-CN" w:bidi="ar-SA"/>
        </w:rPr>
        <w:t>年。项目内容：</w:t>
      </w:r>
      <w:r>
        <w:rPr>
          <w:rFonts w:hint="eastAsia" w:ascii="仿宋_GB2312" w:hAnsi="仿宋" w:eastAsia="仿宋_GB2312" w:cs="Times New Roman"/>
          <w:kern w:val="2"/>
          <w:sz w:val="32"/>
          <w:szCs w:val="32"/>
          <w:highlight w:val="none"/>
          <w:lang w:val="en-US" w:eastAsia="zh-CN" w:bidi="ar-SA"/>
        </w:rPr>
        <w:t>根据党中央安可替代和信创战略的要求，按照局机关统一指示，2025年</w:t>
      </w:r>
      <w:r>
        <w:rPr>
          <w:rFonts w:hint="eastAsia" w:ascii="仿宋_GB2312" w:hAnsi="仿宋" w:cs="Times New Roman"/>
          <w:kern w:val="2"/>
          <w:sz w:val="32"/>
          <w:szCs w:val="32"/>
          <w:highlight w:val="none"/>
          <w:lang w:val="en-US" w:eastAsia="zh-CN" w:bidi="ar-SA"/>
        </w:rPr>
        <w:t>9月4日</w:t>
      </w:r>
      <w:r>
        <w:rPr>
          <w:rFonts w:hint="eastAsia" w:ascii="仿宋_GB2312" w:hAnsi="仿宋" w:eastAsia="仿宋_GB2312" w:cs="Times New Roman"/>
          <w:kern w:val="2"/>
          <w:sz w:val="32"/>
          <w:szCs w:val="32"/>
          <w:highlight w:val="none"/>
          <w:lang w:val="en-US" w:eastAsia="zh-CN" w:bidi="ar-SA"/>
        </w:rPr>
        <w:t>采购</w:t>
      </w:r>
      <w:r>
        <w:rPr>
          <w:rFonts w:hint="eastAsia" w:ascii="仿宋_GB2312" w:hAnsi="仿宋" w:cs="Times New Roman"/>
          <w:kern w:val="2"/>
          <w:sz w:val="32"/>
          <w:szCs w:val="32"/>
          <w:highlight w:val="none"/>
          <w:lang w:val="en-US" w:eastAsia="zh-CN" w:bidi="ar-SA"/>
        </w:rPr>
        <w:t>3</w:t>
      </w:r>
      <w:r>
        <w:rPr>
          <w:rFonts w:hint="eastAsia" w:ascii="仿宋_GB2312" w:hAnsi="仿宋" w:eastAsia="仿宋_GB2312" w:cs="Times New Roman"/>
          <w:kern w:val="2"/>
          <w:sz w:val="32"/>
          <w:szCs w:val="32"/>
          <w:highlight w:val="none"/>
          <w:lang w:val="en-US" w:eastAsia="zh-CN" w:bidi="ar-SA"/>
        </w:rPr>
        <w:t>台国产电脑</w:t>
      </w:r>
      <w:r>
        <w:rPr>
          <w:rFonts w:hint="eastAsia" w:ascii="仿宋_GB2312" w:hAnsi="仿宋" w:cs="Times New Roman"/>
          <w:kern w:val="2"/>
          <w:sz w:val="32"/>
          <w:szCs w:val="32"/>
          <w:highlight w:val="none"/>
          <w:lang w:val="en-US" w:eastAsia="zh-CN" w:bidi="ar-SA"/>
        </w:rPr>
        <w:t>，</w:t>
      </w:r>
      <w:r>
        <w:rPr>
          <w:rFonts w:hint="eastAsia" w:ascii="仿宋_GB2312" w:hAnsi="仿宋" w:eastAsia="仿宋_GB2312" w:cs="Times New Roman"/>
          <w:kern w:val="2"/>
          <w:sz w:val="32"/>
          <w:szCs w:val="32"/>
          <w:highlight w:val="none"/>
          <w:lang w:val="en-US" w:eastAsia="zh-CN" w:bidi="ar-SA"/>
        </w:rPr>
        <w:t>完成安可替代任务</w:t>
      </w:r>
      <w:r>
        <w:rPr>
          <w:rFonts w:hint="eastAsia" w:ascii="仿宋_GB2312" w:hAnsi="仿宋" w:cs="Times New Roman"/>
          <w:kern w:val="2"/>
          <w:sz w:val="32"/>
          <w:szCs w:val="32"/>
          <w:highlight w:val="none"/>
          <w:lang w:val="en-US" w:eastAsia="zh-CN" w:bidi="ar-SA"/>
        </w:rPr>
        <w:t>，</w:t>
      </w:r>
      <w:r>
        <w:rPr>
          <w:rFonts w:hint="eastAsia" w:ascii="仿宋_GB2312" w:hAnsi="仿宋" w:eastAsia="仿宋_GB2312" w:cs="Times New Roman"/>
          <w:kern w:val="2"/>
          <w:sz w:val="32"/>
          <w:szCs w:val="32"/>
          <w:highlight w:val="none"/>
          <w:lang w:val="en-US" w:eastAsia="zh-CN" w:bidi="ar-SA"/>
        </w:rPr>
        <w:t>确保单位的信息能够自主可控、安全可靠。</w:t>
      </w:r>
      <w:r>
        <w:rPr>
          <w:rFonts w:hint="eastAsia" w:ascii="仿宋_GB2312" w:hAnsi="仿宋" w:eastAsia="仿宋_GB2312"/>
          <w:kern w:val="2"/>
          <w:sz w:val="32"/>
          <w:szCs w:val="32"/>
          <w:highlight w:val="none"/>
          <w:lang w:val="en-US" w:eastAsia="zh-CN" w:bidi="ar-SA"/>
        </w:rPr>
        <w:t>202</w:t>
      </w:r>
      <w:r>
        <w:rPr>
          <w:rFonts w:hint="eastAsia" w:ascii="仿宋_GB2312" w:hAnsi="仿宋"/>
          <w:kern w:val="2"/>
          <w:sz w:val="32"/>
          <w:szCs w:val="32"/>
          <w:highlight w:val="none"/>
          <w:lang w:val="en-US" w:eastAsia="zh-CN" w:bidi="ar-SA"/>
        </w:rPr>
        <w:t>5</w:t>
      </w:r>
      <w:r>
        <w:rPr>
          <w:rFonts w:hint="eastAsia" w:ascii="仿宋_GB2312" w:hAnsi="仿宋" w:eastAsia="仿宋_GB2312"/>
          <w:kern w:val="2"/>
          <w:sz w:val="32"/>
          <w:szCs w:val="32"/>
          <w:highlight w:val="none"/>
          <w:lang w:val="en-US" w:eastAsia="zh-CN" w:bidi="ar-SA"/>
        </w:rPr>
        <w:t>年，我</w:t>
      </w:r>
      <w:r>
        <w:rPr>
          <w:rFonts w:hint="eastAsia" w:ascii="仿宋_GB2312" w:hAnsi="仿宋"/>
          <w:kern w:val="2"/>
          <w:sz w:val="32"/>
          <w:szCs w:val="32"/>
          <w:highlight w:val="none"/>
          <w:lang w:val="en-US" w:eastAsia="zh-CN" w:bidi="ar-SA"/>
        </w:rPr>
        <w:t>单位</w:t>
      </w:r>
      <w:r>
        <w:rPr>
          <w:rFonts w:hint="eastAsia" w:ascii="仿宋_GB2312" w:hAnsi="仿宋" w:eastAsia="仿宋_GB2312" w:cs="Times New Roman"/>
          <w:kern w:val="2"/>
          <w:sz w:val="32"/>
          <w:szCs w:val="32"/>
          <w:highlight w:val="none"/>
          <w:lang w:val="en-US" w:eastAsia="zh-CN" w:bidi="ar-SA"/>
        </w:rPr>
        <w:t>安可替代专项项目</w:t>
      </w:r>
      <w:r>
        <w:rPr>
          <w:rFonts w:hint="eastAsia" w:ascii="仿宋_GB2312" w:hAnsi="仿宋" w:eastAsia="仿宋_GB2312"/>
          <w:kern w:val="2"/>
          <w:sz w:val="32"/>
          <w:szCs w:val="32"/>
          <w:highlight w:val="none"/>
          <w:lang w:val="en-US" w:eastAsia="zh-CN" w:bidi="ar-SA"/>
        </w:rPr>
        <w:t>资金支出共计</w:t>
      </w:r>
      <w:r>
        <w:rPr>
          <w:rFonts w:hint="eastAsia" w:ascii="仿宋_GB2312" w:hAnsi="仿宋"/>
          <w:kern w:val="2"/>
          <w:sz w:val="32"/>
          <w:szCs w:val="32"/>
          <w:highlight w:val="none"/>
          <w:lang w:val="en-US" w:eastAsia="zh-CN" w:bidi="ar-SA"/>
        </w:rPr>
        <w:t>0.86</w:t>
      </w:r>
      <w:r>
        <w:rPr>
          <w:rFonts w:hint="eastAsia" w:ascii="仿宋_GB2312" w:hAnsi="仿宋" w:eastAsia="仿宋_GB2312"/>
          <w:kern w:val="2"/>
          <w:sz w:val="32"/>
          <w:szCs w:val="32"/>
          <w:highlight w:val="none"/>
          <w:lang w:val="en-US" w:eastAsia="zh-CN" w:bidi="ar-SA"/>
        </w:rPr>
        <w:t>万元，使用率达到100%，其中：商品服务支出</w:t>
      </w:r>
      <w:r>
        <w:rPr>
          <w:rFonts w:hint="eastAsia" w:ascii="仿宋_GB2312" w:hAnsi="仿宋"/>
          <w:kern w:val="2"/>
          <w:sz w:val="32"/>
          <w:szCs w:val="32"/>
          <w:highlight w:val="none"/>
          <w:lang w:val="en-US" w:eastAsia="zh-CN" w:bidi="ar-SA"/>
        </w:rPr>
        <w:t>0.86</w:t>
      </w:r>
      <w:r>
        <w:rPr>
          <w:rFonts w:hint="eastAsia" w:ascii="仿宋_GB2312" w:hAnsi="仿宋" w:eastAsia="仿宋_GB2312"/>
          <w:kern w:val="2"/>
          <w:sz w:val="32"/>
          <w:szCs w:val="32"/>
          <w:highlight w:val="none"/>
          <w:lang w:val="en-US" w:eastAsia="zh-CN" w:bidi="ar-SA"/>
        </w:rPr>
        <w:t>万元，占项目总支出的100%。</w:t>
      </w:r>
    </w:p>
    <w:p>
      <w:pPr>
        <w:pStyle w:val="11"/>
        <w:ind w:firstLine="640"/>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益阳市第四人民医院2025年一般公共预算项目支出2520.67万元，实际执行数2520.67万元，执行率为100%，其中年初10万元，追加预算2510.67万元。</w:t>
      </w:r>
    </w:p>
    <w:p>
      <w:pPr>
        <w:pStyle w:val="9"/>
        <w:keepNext w:val="0"/>
        <w:keepLines w:val="0"/>
        <w:pageBreakBefore w:val="0"/>
        <w:numPr>
          <w:ilvl w:val="0"/>
          <w:numId w:val="0"/>
        </w:numPr>
        <w:kinsoku/>
        <w:wordWrap/>
        <w:overflowPunct/>
        <w:topLinePunct w:val="0"/>
        <w:autoSpaceDE/>
        <w:autoSpaceDN/>
        <w:bidi w:val="0"/>
        <w:adjustRightInd/>
        <w:spacing w:line="460" w:lineRule="exact"/>
        <w:ind w:firstLine="640" w:firstLineChars="200"/>
        <w:rPr>
          <w:rFonts w:hint="default"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益阳市第一中医医院项目支出1276.18万元，实际执行数1047.42万元，执行率82.07%，其中:其他科学技术支出(支出功能分类科目代码2069999)、其他公立医院支出(支出功能分类科目代码2100299)、中医（民族医）药专项(支出功能分类科目代码2101704)的执行率低于90.00%。一般公共预算项目支出医疗设备购置等资本性支出643.36万元、助理全科补助56.45万元、商品和服务支出347.61万元。</w:t>
      </w:r>
    </w:p>
    <w:p>
      <w:pPr>
        <w:pStyle w:val="9"/>
        <w:numPr>
          <w:ilvl w:val="0"/>
          <w:numId w:val="0"/>
        </w:numPr>
        <w:spacing w:line="520" w:lineRule="exact"/>
        <w:ind w:leftChars="200"/>
        <w:rPr>
          <w:rFonts w:ascii="Times New Roman" w:hAnsi="Times New Roman" w:eastAsia="黑体"/>
          <w:szCs w:val="32"/>
        </w:rPr>
      </w:pPr>
      <w:r>
        <w:rPr>
          <w:rFonts w:hint="eastAsia" w:ascii="Times New Roman" w:hAnsi="Times New Roman" w:eastAsia="黑体"/>
          <w:szCs w:val="32"/>
          <w:lang w:val="en-US" w:eastAsia="zh-CN"/>
        </w:rPr>
        <w:t>三、</w:t>
      </w:r>
      <w:r>
        <w:rPr>
          <w:rFonts w:ascii="Times New Roman" w:hAnsi="Times New Roman" w:eastAsia="黑体"/>
          <w:szCs w:val="32"/>
        </w:rPr>
        <w:t>政府性基金预算支出情况</w:t>
      </w:r>
    </w:p>
    <w:p>
      <w:pPr>
        <w:pStyle w:val="9"/>
        <w:numPr>
          <w:ilvl w:val="0"/>
          <w:numId w:val="0"/>
        </w:numPr>
        <w:spacing w:line="520" w:lineRule="exact"/>
        <w:ind w:leftChars="200"/>
        <w:rPr>
          <w:rFonts w:hint="eastAsia" w:ascii="仿宋-GB2312" w:hAnsi="仿宋-GB2312" w:eastAsia="仿宋-GB2312" w:cs="仿宋-GB2312"/>
        </w:rPr>
      </w:pPr>
      <w:r>
        <w:rPr>
          <w:rFonts w:hint="eastAsia" w:ascii="仿宋-GB2312" w:hAnsi="仿宋-GB2312" w:eastAsia="仿宋-GB2312" w:cs="仿宋-GB2312"/>
        </w:rPr>
        <w:t>医院政府性基金为专项债券资金9667.58万元，实际执行数9667.58万元，执行率为100%。</w:t>
      </w:r>
    </w:p>
    <w:p>
      <w:pPr>
        <w:pStyle w:val="9"/>
        <w:numPr>
          <w:ilvl w:val="0"/>
          <w:numId w:val="0"/>
        </w:numPr>
        <w:spacing w:line="520" w:lineRule="exact"/>
        <w:ind w:leftChars="200"/>
        <w:rPr>
          <w:rFonts w:ascii="Times New Roman" w:hAnsi="Times New Roman" w:eastAsia="黑体"/>
          <w:szCs w:val="32"/>
        </w:rPr>
      </w:pPr>
      <w:r>
        <w:rPr>
          <w:rFonts w:hint="eastAsia" w:ascii="Times New Roman" w:hAnsi="Times New Roman" w:eastAsia="黑体"/>
          <w:szCs w:val="32"/>
          <w:lang w:val="en-US" w:eastAsia="zh-CN"/>
        </w:rPr>
        <w:t>四、</w:t>
      </w:r>
      <w:r>
        <w:rPr>
          <w:rFonts w:ascii="Times New Roman" w:hAnsi="Times New Roman" w:eastAsia="黑体"/>
          <w:szCs w:val="32"/>
        </w:rPr>
        <w:t>国有资本经营预算支出情况</w:t>
      </w:r>
    </w:p>
    <w:p>
      <w:pPr>
        <w:pStyle w:val="9"/>
        <w:numPr>
          <w:ilvl w:val="0"/>
          <w:numId w:val="0"/>
        </w:numPr>
        <w:spacing w:line="520" w:lineRule="exact"/>
        <w:ind w:leftChars="200"/>
        <w:rPr>
          <w:rFonts w:hint="eastAsia" w:ascii="Times New Roman" w:hAnsi="Times New Roman" w:eastAsia="黑体"/>
          <w:szCs w:val="32"/>
          <w:lang w:eastAsia="zh-CN"/>
        </w:rPr>
      </w:pPr>
      <w:r>
        <w:rPr>
          <w:rFonts w:hint="eastAsia" w:ascii="仿宋" w:hAnsi="仿宋" w:eastAsia="仿宋" w:cs="仿宋"/>
          <w:b w:val="0"/>
          <w:bCs/>
          <w:szCs w:val="32"/>
          <w:lang w:val="en-US" w:eastAsia="zh-CN"/>
        </w:rPr>
        <w:t>无国有经营预算支出。</w:t>
      </w:r>
    </w:p>
    <w:p>
      <w:pPr>
        <w:pStyle w:val="9"/>
        <w:numPr>
          <w:ilvl w:val="0"/>
          <w:numId w:val="0"/>
        </w:numPr>
        <w:spacing w:line="520" w:lineRule="exact"/>
        <w:ind w:leftChars="200"/>
        <w:rPr>
          <w:rFonts w:ascii="Times New Roman" w:hAnsi="Times New Roman" w:eastAsia="黑体"/>
          <w:szCs w:val="32"/>
        </w:rPr>
      </w:pPr>
      <w:r>
        <w:rPr>
          <w:rFonts w:hint="eastAsia" w:ascii="Times New Roman" w:hAnsi="Times New Roman" w:eastAsia="黑体"/>
          <w:szCs w:val="32"/>
          <w:lang w:val="en-US" w:eastAsia="zh-CN"/>
        </w:rPr>
        <w:t>五、</w:t>
      </w:r>
      <w:r>
        <w:rPr>
          <w:rFonts w:ascii="Times New Roman" w:hAnsi="Times New Roman" w:eastAsia="黑体"/>
          <w:szCs w:val="32"/>
        </w:rPr>
        <w:t>社会保险基金预算支出情况</w:t>
      </w:r>
    </w:p>
    <w:p>
      <w:pPr>
        <w:pStyle w:val="9"/>
        <w:numPr>
          <w:ilvl w:val="0"/>
          <w:numId w:val="0"/>
        </w:numPr>
        <w:spacing w:line="520" w:lineRule="exact"/>
        <w:ind w:leftChars="200"/>
        <w:rPr>
          <w:rFonts w:ascii="Times New Roman" w:hAnsi="Times New Roman" w:eastAsia="黑体"/>
          <w:szCs w:val="32"/>
        </w:rPr>
      </w:pPr>
      <w:r>
        <w:rPr>
          <w:rFonts w:hint="eastAsia" w:ascii="仿宋" w:hAnsi="仿宋" w:eastAsia="仿宋" w:cs="仿宋"/>
          <w:b w:val="0"/>
          <w:bCs/>
          <w:szCs w:val="32"/>
          <w:lang w:val="en-US" w:eastAsia="zh-CN"/>
        </w:rPr>
        <w:t>无社会保险基金预算支出。</w:t>
      </w:r>
    </w:p>
    <w:p>
      <w:pPr>
        <w:spacing w:line="520" w:lineRule="exact"/>
        <w:ind w:firstLine="640" w:firstLineChars="200"/>
        <w:rPr>
          <w:rFonts w:ascii="Times New Roman" w:hAnsi="Times New Roman" w:eastAsia="黑体"/>
          <w:szCs w:val="32"/>
        </w:rPr>
      </w:pPr>
      <w:r>
        <w:rPr>
          <w:rFonts w:hint="eastAsia" w:ascii="Times New Roman" w:hAnsi="Times New Roman" w:eastAsia="黑体"/>
          <w:szCs w:val="32"/>
          <w:lang w:val="en-US" w:eastAsia="zh-CN"/>
        </w:rPr>
        <w:t>六、</w:t>
      </w:r>
      <w:r>
        <w:rPr>
          <w:rFonts w:ascii="Times New Roman" w:hAnsi="Times New Roman" w:eastAsia="黑体"/>
          <w:szCs w:val="32"/>
        </w:rPr>
        <w:t>部门整体支出绩效情况</w:t>
      </w:r>
    </w:p>
    <w:p>
      <w:pPr>
        <w:spacing w:line="52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rPr>
        <w:t>202</w:t>
      </w: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年，围绕卫生健康工作重点，制度绩效目标，规范预算资金管理，各项工作取得较好成绩。</w:t>
      </w:r>
    </w:p>
    <w:p>
      <w:pPr>
        <w:snapToGrid w:val="0"/>
        <w:spacing w:line="520" w:lineRule="exact"/>
        <w:ind w:firstLine="640" w:firstLineChars="200"/>
        <w:rPr>
          <w:rFonts w:hint="eastAsia" w:ascii="华文仿宋" w:hAnsi="华文仿宋" w:eastAsia="华文仿宋" w:cs="华文仿宋"/>
          <w:sz w:val="32"/>
          <w:szCs w:val="32"/>
        </w:rPr>
      </w:pPr>
      <w:r>
        <w:rPr>
          <w:rFonts w:hint="eastAsia" w:ascii="仿宋" w:hAnsi="仿宋" w:eastAsia="仿宋" w:cs="仿宋"/>
          <w:b w:val="0"/>
          <w:bCs/>
          <w:sz w:val="32"/>
          <w:szCs w:val="32"/>
        </w:rPr>
        <w:t xml:space="preserve">    </w:t>
      </w:r>
      <w:r>
        <w:rPr>
          <w:rFonts w:hint="eastAsia" w:ascii="华文仿宋" w:hAnsi="华文仿宋" w:eastAsia="华文仿宋" w:cs="华文仿宋"/>
          <w:b/>
          <w:sz w:val="32"/>
          <w:szCs w:val="32"/>
          <w:lang w:val="en-US" w:eastAsia="zh-CN"/>
        </w:rPr>
        <w:t>1.</w:t>
      </w:r>
      <w:r>
        <w:rPr>
          <w:rFonts w:hint="eastAsia" w:ascii="华文仿宋" w:hAnsi="华文仿宋" w:eastAsia="华文仿宋" w:cs="华文仿宋"/>
          <w:b/>
          <w:sz w:val="32"/>
          <w:szCs w:val="32"/>
        </w:rPr>
        <w:t>聚焦党建引领，组织保障更有深度。</w:t>
      </w:r>
      <w:r>
        <w:rPr>
          <w:rFonts w:hint="eastAsia" w:ascii="华文仿宋" w:hAnsi="华文仿宋" w:eastAsia="华文仿宋" w:cs="华文仿宋"/>
          <w:sz w:val="32"/>
          <w:szCs w:val="32"/>
        </w:rPr>
        <w:t>坚持把学习贯彻习近平新时代中国特色社会主义思想作为首要政治任务，严格落实“第一议题”制度，组织12次中心组学习，开展深度研讨，做到常学常新、常悟常进。全年党组会共研究议题133个，均得到有效落实，推动党建和业务工作实现双驱动、双融合、双促进。组织市直医疗卫生系统130余名党务领导干部赴四川大学接受培训，提升综合能力。组织3批次机关党员干部到常德会战抗日纪念碑、金家堤支部陈列馆等地接受“沉浸式”教育，真正让学习教育入脑入心。选拔7名优秀的复合型人才充实到直属医疗卫生单位领导班子，3家公立医院纪委书记进行轮岗调整，4家市直医疗卫生单位按期完成党组织换届及委员补选工作，全系统67个基层党支部按期换届，党组织力量进一步充实。</w:t>
      </w:r>
    </w:p>
    <w:p>
      <w:pPr>
        <w:snapToGrid w:val="0"/>
        <w:spacing w:line="520" w:lineRule="exact"/>
        <w:ind w:firstLine="643"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lang w:val="en-US" w:eastAsia="zh-CN"/>
        </w:rPr>
        <w:t>2.聚焦改革攻坚，深化医改更有力度。</w:t>
      </w:r>
      <w:r>
        <w:rPr>
          <w:rFonts w:hint="eastAsia" w:ascii="华文仿宋" w:hAnsi="华文仿宋" w:eastAsia="华文仿宋" w:cs="华文仿宋"/>
          <w:sz w:val="32"/>
          <w:szCs w:val="32"/>
        </w:rPr>
        <w:t>全市7个县市区紧密型医共体全部通过市级验收，并同步实现医保基金打包支付；家庭医生签约人数达到224.61万人，任务完成率185.66%，重点人群覆盖率达91.46%，满意度持续保持100%；县乡村三级药品统筹联动管理体系全域覆盖，村卫生室常备药品稳定在40种以上；县域内基层医疗卫生机构诊疗量占总诊疗量的66.37%，同比提升12.36个百分点；医疗服务收入占比达37.90%，同比增加1.26个百分点；资产负债率降至46.36%，同比降低7.67个百分点；公立医院收支平衡占比达72.73%，同比提升27.28个百分点；5岁以下儿童死亡率下降25%、婴儿死亡率下降35.9%；桃江县作为全省唯一中心药房智慧供应试点县，创新探索H-SPD与基层用药联动模式，率先实现药品全流程可追溯、销售数据实时上传。</w:t>
      </w:r>
    </w:p>
    <w:p>
      <w:pPr>
        <w:snapToGrid w:val="0"/>
        <w:spacing w:line="520" w:lineRule="exact"/>
        <w:ind w:firstLine="643"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lang w:val="en-US" w:eastAsia="zh-CN"/>
        </w:rPr>
        <w:t>3.聚焦基层基础，医疗服务更有广度。</w:t>
      </w:r>
      <w:r>
        <w:rPr>
          <w:rFonts w:hint="eastAsia" w:ascii="华文仿宋" w:hAnsi="华文仿宋" w:eastAsia="华文仿宋" w:cs="华文仿宋"/>
          <w:sz w:val="32"/>
          <w:szCs w:val="32"/>
        </w:rPr>
        <w:t>优化医疗资源配置，撤销或合并部分非建制卫生院，全市基层医疗卫生机构由110家减少至103家。完成桃江县灰山港镇中心卫生院和赫山区欧江岔镇中心卫生院县域医疗卫生次中心建设。34家卫生院（社区卫生服务中心）达到国家推荐标准，69家达基本标准，11家成功创建二级医院，4家获评社区医院。推动优质资源下沉，组建8支市级巡回医疗队覆盖7个县市区，巡回医疗义诊7429人、门急诊5455人。依托医共体建设，通过对口帮扶、专家坐诊等形式选派骨干医师下沉，派出各级各类专业技术人员共 5000余人次，服务基层群众5万余人次。创新医疗服务模式，利用远程医疗和现代信息化手段，让基层老百姓可就近享受市县专家的医疗服务。强化人才保障，通过县聘乡用、乡聘村用、定向培养、外派进修、学习等手段，不断加强基层医疗卫生机构人才队伍建设，培训乡村医生305名，培养大专层次乡村医生定向生80人。开展乡村医生等级评定，拓展乡村医生的晋升渠道。我市连续3年获得全省基本公共卫生服务项目年度绩效考核B类地区第一名。</w:t>
      </w:r>
    </w:p>
    <w:p>
      <w:pPr>
        <w:snapToGrid w:val="0"/>
        <w:spacing w:line="520" w:lineRule="exact"/>
        <w:ind w:firstLine="643"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lang w:val="en-US" w:eastAsia="zh-CN"/>
        </w:rPr>
        <w:t>4.聚焦医防融合，健康守护更有厚度。</w:t>
      </w:r>
      <w:r>
        <w:rPr>
          <w:rFonts w:hint="eastAsia" w:ascii="华文仿宋" w:hAnsi="华文仿宋" w:eastAsia="华文仿宋" w:cs="华文仿宋"/>
          <w:sz w:val="32"/>
          <w:szCs w:val="32"/>
        </w:rPr>
        <w:t>系统重塑疾控体系，机构整合有新气象，医防协同有新高度，传染病防控实现智慧升级，二级及以上公立医院传染病智能监测预警前置软件部署应用率达到100%。结核病、艾滋病、血吸虫病等重大传染病防控成效明显，结核病报告发病率连续两年较大幅度下降，“两热”疫情没有发生本土传播，传染病疫情得到有效控制。医疗机构疾控监督员制度全面实施，创新嵌入式监督和“四单”机制推动问题整改，构建医防协同、医防融合新局面，经验做法在全省推介。扎实推进人均预期寿命提升行动，多部门联合共治格局基本形成，突出抓好“一老一小”重点人群健康干预，5岁以下儿童死亡率、慢性病过早死亡率等关键指标持续改善。强化全民健康素养提升与健康生活方式普及，注重创新健康教育方式，与市民文化中心合作高规格打造健康教育科普馆，将减盐减油、合理膳食、体重管理与慢病预防科普融入群众性文体活动。开展健康环境因素综合治理，道路交通安全事故等意外伤害发生率明显减少。职业病救治成果显著，累计救治救助农民工尘肺病1486人，任务完成率达136.96%，健康企业建设优秀案例连续3年获国家卫健委推广。生育支持政策不断优化，发放二孩及以上家庭购房奖励597.36万元，受理育儿补贴申报8.2万次，已发放资金2.14亿余元。率先在全省建成市托育综合服务中心和专业学术委员会。建成生育友好医院9所、儿童友好医院8所，在全省友好医院建设现场推进会上作典型发言。积极开展红十字“救”在身边行动，全年普及应急救护知识20.5万人次，培训救护师资5名，培训持证救护员19010名，位居全省前三。</w:t>
      </w:r>
    </w:p>
    <w:p>
      <w:pPr>
        <w:snapToGrid w:val="0"/>
        <w:spacing w:line="520" w:lineRule="exact"/>
        <w:ind w:firstLine="643"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lang w:val="en-US" w:eastAsia="zh-CN"/>
        </w:rPr>
        <w:t>5.聚焦传承创新，中医药发展更有高度。</w:t>
      </w:r>
      <w:r>
        <w:rPr>
          <w:rFonts w:hint="eastAsia" w:ascii="华文仿宋" w:hAnsi="华文仿宋" w:eastAsia="华文仿宋" w:cs="华文仿宋"/>
          <w:sz w:val="32"/>
          <w:szCs w:val="32"/>
        </w:rPr>
        <w:t>深入实施“中医药强市战略”，全力推进全国基层中医药工作示范市创建和湖南省国家中医药综合改革示范区先导区建设。在全省率先成立市级中医药发展事务中心。全国基层中医药工作示范市通过省级首批评审，5个区县创建国家示范县。建成国家级和省级中医重点专科41个、工作室12个。全市基层中医诊疗量达基层总诊疗量的42%，104家乡镇卫生院和社区卫生服务中心实现中医馆“全覆盖”。中医药健康管理融入基本公卫，0-36月龄儿童、65岁以上老年人中医药健康管理覆盖率分别达85%、75%。深入开展中医药文化“六进”活动，全年组织义诊、科普、体验等活动超300场，服务群众10万余人次，居民中医药健康文化素养水平持续提升，2025年度达32.12%。截至目前，全市中药材种植面积54.08万亩，总产值超100亿元。“安化黄精”“安化厚朴”“南县中华鳖”注册为国家地理标志证明商标。其中“安化黄精”获国家农产品地理标志，产业链产值已超过30亿元，成功举办了第五届湖南黄精高峰论坛。</w:t>
      </w:r>
    </w:p>
    <w:p>
      <w:pPr>
        <w:snapToGrid w:val="0"/>
        <w:spacing w:line="520" w:lineRule="exact"/>
        <w:ind w:firstLine="643"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lang w:val="en-US" w:eastAsia="zh-CN"/>
        </w:rPr>
        <w:t>6.聚焦民生实事，民生答卷更有温度。</w:t>
      </w:r>
      <w:r>
        <w:rPr>
          <w:rFonts w:hint="eastAsia" w:ascii="华文仿宋" w:hAnsi="华文仿宋" w:eastAsia="华文仿宋" w:cs="华文仿宋"/>
          <w:sz w:val="32"/>
          <w:szCs w:val="32"/>
        </w:rPr>
        <w:t>始终以改善群众就医体验为核心，通过简化流程、减轻负担、延伸服务、提升质量等多措并举，系统优化医疗服务全流程。一方面持续取消陪床费、取消未打印放射胶片费用、推动检验结果互认，就诊一卡通、巡回医疗切实减轻群众就医成本；另一方面大力建设门诊一站式服务、就医满意度评价、网上预约挂号、出院床旁结算、延续护理服务等服务模式，全面开通两路“12356”热线，有效提升服务可及性与便利性，实现群众就医更省心、更暖心、更放心。截至12月，通过取消陪护床和放射胶片打印收费，累计为患者直接减轻负担1675.4974万元；46家二级医院加入检验检查结果互认平台，省级平台累计互认59345份，节约群众资金273.24万元；依托一站式服务平台接待271万余人次，提供线上预约、志愿服务及爱心陪诊等便民服务；网上预约挂号服务140万人次，互联网+护理、电话随访延伸服务超39万人次，临床、医技及窗口服务满意度均超94%。积极推进医院免陪照护服务试点，先后在省内外开展5批次学习调研，召开28场次座谈会，出台4份规范性文件，5家试点机构覆盖16个病区,开放床位428张，为4500余人（次）患者提供照护服务，派遣护理员223名。</w:t>
      </w:r>
    </w:p>
    <w:p>
      <w:pPr>
        <w:snapToGrid w:val="0"/>
        <w:spacing w:line="520" w:lineRule="exact"/>
        <w:ind w:firstLine="643" w:firstLineChars="200"/>
        <w:rPr>
          <w:rFonts w:hint="eastAsia" w:ascii="华文仿宋" w:hAnsi="华文仿宋" w:eastAsia="华文仿宋" w:cs="华文仿宋"/>
          <w:sz w:val="32"/>
          <w:szCs w:val="32"/>
        </w:rPr>
      </w:pPr>
      <w:r>
        <w:rPr>
          <w:rFonts w:hint="eastAsia" w:ascii="华文仿宋" w:hAnsi="华文仿宋" w:eastAsia="华文仿宋" w:cs="华文仿宋"/>
          <w:b/>
          <w:sz w:val="32"/>
          <w:szCs w:val="32"/>
          <w:lang w:val="en-US" w:eastAsia="zh-CN"/>
        </w:rPr>
        <w:t>7.聚焦安全守底，风险防范更有维度。</w:t>
      </w:r>
      <w:r>
        <w:rPr>
          <w:rFonts w:hint="eastAsia" w:ascii="华文仿宋" w:hAnsi="华文仿宋" w:eastAsia="华文仿宋" w:cs="华文仿宋"/>
          <w:sz w:val="32"/>
          <w:szCs w:val="32"/>
        </w:rPr>
        <w:t>安全稳定常抓不懈，开展安全生产（消防）集中除患攻坚大排查大整治等专项行动，督导82家医疗卫生单位，及时通报、追踪督办、整改销号，排查整治安全隐患373个，全年未发生安全生产责任事故，安全生产形势持续稳定。深化信访矛盾化解，建立领导包案机制，重复信访下降20%。行业监管持续深化，全面完成省委巡视、市委巡察反馈问题整改。全力推进全市卫健系统“1+3”专项整治，下沉指导7个县市区和20家医疗机构开展整治。创新开展益阳与长沙跨市大型医院交叉巡查，完成市、县两级共80余家医院巡查任务。联合市纪委监委拍摄警示片《医戒》，组织参加庭审旁听，清廉医院建设成效显著，经验做法在人民日报、湖南日报头版报道。</w:t>
      </w:r>
    </w:p>
    <w:p>
      <w:pPr>
        <w:pStyle w:val="9"/>
        <w:spacing w:line="520" w:lineRule="exact"/>
        <w:ind w:firstLine="632"/>
        <w:rPr>
          <w:rFonts w:ascii="Times New Roman" w:hAnsi="Times New Roman" w:eastAsia="黑体"/>
          <w:szCs w:val="32"/>
        </w:rPr>
      </w:pPr>
      <w:r>
        <w:rPr>
          <w:rFonts w:hint="eastAsia" w:ascii="Times New Roman" w:hAnsi="Times New Roman" w:eastAsia="黑体"/>
          <w:szCs w:val="32"/>
          <w:lang w:val="en-US" w:eastAsia="zh-CN"/>
        </w:rPr>
        <w:t>七</w:t>
      </w:r>
      <w:r>
        <w:rPr>
          <w:rFonts w:ascii="Times New Roman" w:hAnsi="Times New Roman" w:eastAsia="黑体"/>
          <w:szCs w:val="32"/>
        </w:rPr>
        <w:t>、存在的问题及原因分析</w:t>
      </w:r>
    </w:p>
    <w:p>
      <w:pPr>
        <w:snapToGrid w:val="0"/>
        <w:spacing w:line="520" w:lineRule="exact"/>
        <w:ind w:firstLine="643" w:firstLineChars="200"/>
        <w:rPr>
          <w:rFonts w:hint="eastAsia" w:ascii="楷体_GB2312" w:hAnsi="仿宋" w:eastAsia="楷体_GB2312" w:cs="Times New Roman"/>
          <w:b/>
          <w:kern w:val="2"/>
          <w:sz w:val="32"/>
          <w:szCs w:val="32"/>
          <w:lang w:val="en-US" w:eastAsia="zh-CN" w:bidi="ar-SA"/>
        </w:rPr>
      </w:pPr>
      <w:bookmarkStart w:id="0" w:name="heading_29"/>
      <w:r>
        <w:rPr>
          <w:rFonts w:hint="eastAsia" w:ascii="楷体_GB2312" w:hAnsi="仿宋" w:eastAsia="楷体_GB2312" w:cs="Times New Roman"/>
          <w:b/>
          <w:kern w:val="2"/>
          <w:sz w:val="32"/>
          <w:szCs w:val="32"/>
          <w:lang w:val="en-US" w:eastAsia="zh-CN" w:bidi="ar-SA"/>
        </w:rPr>
        <w:t>（一）预算编制精准度有待提升</w:t>
      </w:r>
      <w:bookmarkEnd w:id="0"/>
    </w:p>
    <w:p>
      <w:pPr>
        <w:spacing w:before="120" w:after="120" w:line="288" w:lineRule="auto"/>
        <w:ind w:left="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2025年，本单位收入、支出预决算差异率较高，主要因预算编制时对年度专项工作预判不够充分，未充分考虑突发公共卫生事件、上级追加任务等不确定性因素，导致年初预算与实际执行情况差距较大，预算编制的前瞻性、精准性不足，难以全面匹配年度工作开展需求。</w:t>
      </w:r>
    </w:p>
    <w:p>
      <w:pPr>
        <w:snapToGrid w:val="0"/>
        <w:spacing w:line="520" w:lineRule="exact"/>
        <w:ind w:firstLine="643" w:firstLineChars="200"/>
        <w:rPr>
          <w:rFonts w:hint="eastAsia" w:ascii="楷体_GB2312" w:hAnsi="仿宋" w:eastAsia="楷体_GB2312" w:cs="Times New Roman"/>
          <w:b/>
          <w:kern w:val="2"/>
          <w:sz w:val="32"/>
          <w:szCs w:val="32"/>
          <w:lang w:val="en-US" w:eastAsia="zh-CN" w:bidi="ar-SA"/>
        </w:rPr>
      </w:pPr>
      <w:bookmarkStart w:id="1" w:name="heading_30"/>
      <w:r>
        <w:rPr>
          <w:rFonts w:hint="eastAsia" w:ascii="楷体_GB2312" w:hAnsi="仿宋" w:eastAsia="楷体_GB2312" w:cs="Times New Roman"/>
          <w:b/>
          <w:kern w:val="2"/>
          <w:sz w:val="32"/>
          <w:szCs w:val="32"/>
          <w:lang w:val="en-US" w:eastAsia="zh-CN" w:bidi="ar-SA"/>
        </w:rPr>
        <w:t>（二）项目资金执行进度不均衡</w:t>
      </w:r>
      <w:bookmarkEnd w:id="1"/>
    </w:p>
    <w:p>
      <w:pPr>
        <w:spacing w:before="120" w:after="120" w:line="288" w:lineRule="auto"/>
        <w:ind w:left="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部分专项项目受工作部署、流程审批、第三方协作等因素影响，资金拨付和使用进度不均衡，存在前期推进较慢、后期集中支出的情况。虽然年末实现收支平衡、无结转结余，但部分项目资金使用效率未达到最优，未能充分发挥财政资金的时效性，项目推进与资金执行的协同性有待加强。</w:t>
      </w:r>
    </w:p>
    <w:p>
      <w:pPr>
        <w:snapToGrid w:val="0"/>
        <w:spacing w:line="520" w:lineRule="exact"/>
        <w:ind w:firstLine="643" w:firstLineChars="200"/>
        <w:rPr>
          <w:rFonts w:hint="eastAsia" w:ascii="楷体_GB2312" w:hAnsi="仿宋" w:eastAsia="楷体_GB2312" w:cs="Times New Roman"/>
          <w:b/>
          <w:kern w:val="2"/>
          <w:sz w:val="32"/>
          <w:szCs w:val="32"/>
          <w:lang w:val="en-US" w:eastAsia="zh-CN" w:bidi="ar-SA"/>
        </w:rPr>
      </w:pPr>
      <w:bookmarkStart w:id="2" w:name="heading_32"/>
      <w:r>
        <w:rPr>
          <w:rFonts w:hint="eastAsia" w:ascii="楷体_GB2312" w:hAnsi="仿宋" w:eastAsia="楷体_GB2312" w:cs="Times New Roman"/>
          <w:b/>
          <w:kern w:val="2"/>
          <w:sz w:val="32"/>
          <w:szCs w:val="32"/>
          <w:lang w:val="en-US" w:eastAsia="zh-CN" w:bidi="ar-SA"/>
        </w:rPr>
        <w:t>（三）绩效评价深度不足</w:t>
      </w:r>
      <w:bookmarkEnd w:id="2"/>
    </w:p>
    <w:p>
      <w:pPr>
        <w:spacing w:before="120" w:after="120" w:line="288" w:lineRule="auto"/>
        <w:ind w:left="0"/>
        <w:jc w:val="left"/>
        <w:rPr>
          <w:rFonts w:ascii="Times New Roman" w:hAnsi="Times New Roman" w:eastAsia="黑体"/>
          <w:szCs w:val="32"/>
        </w:rPr>
      </w:pPr>
      <w:r>
        <w:rPr>
          <w:rFonts w:hint="eastAsia" w:ascii="华文仿宋" w:hAnsi="华文仿宋" w:eastAsia="华文仿宋" w:cs="华文仿宋"/>
          <w:sz w:val="32"/>
          <w:szCs w:val="32"/>
        </w:rPr>
        <w:t>虽然全年绩效目标圆满完成，但绩效评价工作仍存在“重完成、轻复盘”的情况，对重点项目的绩效评价多集中在目标完成情况、资金使用合规性等基础层面，缺乏对项目实施效果、长远影响的深度分析和跟踪评价。绩效评价结果的应用不够充分，未能完全将评价结果与后续预算编制、项目优化调整紧密结合，绩效评价的导向作用未充分发挥。</w:t>
      </w:r>
    </w:p>
    <w:p>
      <w:pPr>
        <w:numPr>
          <w:ilvl w:val="0"/>
          <w:numId w:val="3"/>
        </w:numPr>
        <w:spacing w:line="520" w:lineRule="exact"/>
        <w:ind w:firstLine="640" w:firstLineChars="200"/>
        <w:rPr>
          <w:rFonts w:hint="eastAsia" w:ascii="Times New Roman" w:hAnsi="Times New Roman" w:eastAsia="黑体"/>
          <w:szCs w:val="32"/>
        </w:rPr>
      </w:pPr>
      <w:r>
        <w:rPr>
          <w:rFonts w:ascii="Times New Roman" w:hAnsi="Times New Roman" w:eastAsia="黑体"/>
          <w:szCs w:val="32"/>
        </w:rPr>
        <w:t>下一步改进措施</w:t>
      </w:r>
      <w:r>
        <w:rPr>
          <w:rFonts w:hint="eastAsia" w:ascii="Times New Roman" w:hAnsi="Times New Roman" w:eastAsia="黑体"/>
          <w:szCs w:val="32"/>
        </w:rPr>
        <w:t xml:space="preserve"> </w:t>
      </w:r>
    </w:p>
    <w:p>
      <w:pPr>
        <w:snapToGrid w:val="0"/>
        <w:spacing w:line="520" w:lineRule="exact"/>
        <w:ind w:firstLine="643" w:firstLineChars="200"/>
        <w:rPr>
          <w:rFonts w:hint="eastAsia" w:ascii="楷体_GB2312" w:hAnsi="仿宋" w:eastAsia="楷体_GB2312" w:cs="Times New Roman"/>
          <w:b/>
          <w:kern w:val="2"/>
          <w:sz w:val="32"/>
          <w:szCs w:val="32"/>
          <w:lang w:val="en-US" w:eastAsia="zh-CN" w:bidi="ar-SA"/>
        </w:rPr>
      </w:pPr>
      <w:bookmarkStart w:id="3" w:name="heading_34"/>
      <w:r>
        <w:rPr>
          <w:rFonts w:hint="eastAsia" w:ascii="楷体_GB2312" w:hAnsi="仿宋" w:eastAsia="楷体_GB2312" w:cs="Times New Roman"/>
          <w:b/>
          <w:kern w:val="2"/>
          <w:sz w:val="32"/>
          <w:szCs w:val="32"/>
          <w:lang w:val="en-US" w:eastAsia="zh-CN" w:bidi="ar-SA"/>
        </w:rPr>
        <w:t>（一）提升预算编制精准度</w:t>
      </w:r>
      <w:bookmarkEnd w:id="3"/>
    </w:p>
    <w:p>
      <w:pPr>
        <w:spacing w:before="120" w:after="120" w:line="288" w:lineRule="auto"/>
        <w:ind w:left="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一是强化预算编制前期调研，全面梳理年度工作任务，充分预判突发公共卫生事件、上级追加任务等不确定性因素，科学测算各项支出需求，提升预算编制的前瞻性和针对性。二是优化预算编制流程，加强各科室、二级机构的协同配合，细化项目支出预算，明确项目实施计划和资金使用进度，避免预算编制“粗放化”。三是建立预算动态调整机制，根据年度工作推进情况和财政资金安排，及时调整预算，确保预算与实际执行情况精准衔接。</w:t>
      </w:r>
    </w:p>
    <w:p>
      <w:pPr>
        <w:snapToGrid w:val="0"/>
        <w:spacing w:line="520" w:lineRule="exact"/>
        <w:ind w:firstLine="643" w:firstLineChars="200"/>
        <w:rPr>
          <w:rFonts w:hint="eastAsia" w:ascii="楷体_GB2312" w:hAnsi="仿宋" w:eastAsia="楷体_GB2312" w:cs="Times New Roman"/>
          <w:b/>
          <w:kern w:val="2"/>
          <w:sz w:val="32"/>
          <w:szCs w:val="32"/>
          <w:lang w:val="en-US" w:eastAsia="zh-CN" w:bidi="ar-SA"/>
        </w:rPr>
      </w:pPr>
      <w:bookmarkStart w:id="4" w:name="heading_35"/>
      <w:r>
        <w:rPr>
          <w:rFonts w:hint="eastAsia" w:ascii="楷体_GB2312" w:hAnsi="仿宋" w:eastAsia="楷体_GB2312" w:cs="Times New Roman"/>
          <w:b/>
          <w:kern w:val="2"/>
          <w:sz w:val="32"/>
          <w:szCs w:val="32"/>
          <w:lang w:val="en-US" w:eastAsia="zh-CN" w:bidi="ar-SA"/>
        </w:rPr>
        <w:t>（二）加快项目资金执行进度</w:t>
      </w:r>
      <w:bookmarkEnd w:id="4"/>
    </w:p>
    <w:p>
      <w:pPr>
        <w:spacing w:before="120" w:after="120" w:line="288" w:lineRule="auto"/>
        <w:ind w:left="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一是建立项目台账管理机制，对各类专项项目实行清单化管理，明确项目实施节点、责任分工和资金使用计划，定期开展项目推进调度，及时解决项目实施过程中存在的审批、协作等问题，加快项目推进速度。二是强化资金拨付审核，简化审批流程，对符合条件的项目及时拨付资金，同时加强资金使用动态监控，督促各责任主体规范使用资金，避免资金闲置。三是建立资金执行通报制度，定期通报各项目资金执行进度，对进度滞后的项目进行约谈督办，确保资金及时足额使用，提升资金使用时效性。</w:t>
      </w:r>
    </w:p>
    <w:p>
      <w:pPr>
        <w:snapToGrid w:val="0"/>
        <w:spacing w:line="520" w:lineRule="exact"/>
        <w:ind w:firstLine="643" w:firstLineChars="200"/>
        <w:rPr>
          <w:rFonts w:hint="eastAsia" w:ascii="楷体_GB2312" w:hAnsi="仿宋" w:eastAsia="楷体_GB2312" w:cs="Times New Roman"/>
          <w:b/>
          <w:kern w:val="2"/>
          <w:sz w:val="32"/>
          <w:szCs w:val="32"/>
          <w:lang w:val="en-US" w:eastAsia="zh-CN" w:bidi="ar-SA"/>
        </w:rPr>
      </w:pPr>
      <w:bookmarkStart w:id="5" w:name="heading_37"/>
      <w:r>
        <w:rPr>
          <w:rFonts w:hint="eastAsia" w:ascii="楷体_GB2312" w:hAnsi="仿宋" w:eastAsia="楷体_GB2312" w:cs="Times New Roman"/>
          <w:b/>
          <w:kern w:val="2"/>
          <w:sz w:val="32"/>
          <w:szCs w:val="32"/>
          <w:lang w:val="en-US" w:eastAsia="zh-CN" w:bidi="ar-SA"/>
        </w:rPr>
        <w:t>（三）深化绩效评价工作</w:t>
      </w:r>
      <w:bookmarkEnd w:id="5"/>
    </w:p>
    <w:p>
      <w:pPr>
        <w:spacing w:before="120" w:after="120" w:line="288" w:lineRule="auto"/>
        <w:ind w:left="0"/>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一是完善绩效评价体系，细化绩效评价指标，扩大绩效评价覆盖面，不仅关注项目目标完成情况和资金使用合规性，更要加强对项目实施效果、长远影响的深度分析，提升绩效评价的科学性和全面性。二是强化绩效评价结果应用，将绩效评价结果与后续预算编制、项目优化调整、资金分配紧密结合，对绩效评价优秀的项目优先安排预算，对绩效不佳的项目进行整改或取消，充分发挥绩效评价的导向作用。三是建立绩效评价跟踪机制，对重点项目开展常态化跟踪评价，及时发现并解决项目实施过程中存在的问题，持续提升项目实施质量和财政资金使用效益。</w:t>
      </w:r>
    </w:p>
    <w:p>
      <w:pPr>
        <w:pStyle w:val="2"/>
        <w:numPr>
          <w:ilvl w:val="0"/>
          <w:numId w:val="0"/>
        </w:numPr>
      </w:pPr>
    </w:p>
    <w:p>
      <w:pPr>
        <w:numPr>
          <w:ilvl w:val="0"/>
          <w:numId w:val="3"/>
        </w:numPr>
        <w:spacing w:line="520" w:lineRule="exact"/>
        <w:ind w:left="0" w:leftChars="0" w:firstLine="640" w:firstLineChars="200"/>
        <w:rPr>
          <w:rFonts w:ascii="Times New Roman" w:hAnsi="Times New Roman" w:eastAsia="黑体"/>
          <w:szCs w:val="32"/>
        </w:rPr>
      </w:pPr>
      <w:r>
        <w:rPr>
          <w:rFonts w:ascii="Times New Roman" w:hAnsi="Times New Roman" w:eastAsia="黑体"/>
          <w:szCs w:val="32"/>
        </w:rPr>
        <w:t>绩效自评结果拟应用和公开情况</w:t>
      </w:r>
    </w:p>
    <w:p>
      <w:pPr>
        <w:numPr>
          <w:ilvl w:val="0"/>
          <w:numId w:val="0"/>
        </w:numPr>
        <w:spacing w:line="520" w:lineRule="exact"/>
        <w:ind w:firstLine="640" w:firstLineChars="200"/>
        <w:rPr>
          <w:rFonts w:hint="default"/>
          <w:lang w:val="en-US"/>
        </w:rPr>
      </w:pPr>
      <w:bookmarkStart w:id="6" w:name="_GoBack"/>
      <w:r>
        <w:rPr>
          <w:rFonts w:hint="eastAsia" w:ascii="仿宋" w:hAnsi="仿宋" w:eastAsia="仿宋" w:cs="仿宋"/>
          <w:b w:val="0"/>
          <w:bCs/>
          <w:szCs w:val="32"/>
          <w:lang w:val="en-US" w:eastAsia="zh-CN"/>
        </w:rPr>
        <w:t>本次评分98.88分，评价等级为优秀。</w:t>
      </w:r>
      <w:bookmarkEnd w:id="6"/>
      <w:r>
        <w:rPr>
          <w:rFonts w:hint="eastAsia" w:ascii="仿宋" w:hAnsi="仿宋" w:eastAsia="仿宋" w:cs="仿宋"/>
          <w:b w:val="0"/>
          <w:bCs/>
          <w:szCs w:val="32"/>
          <w:lang w:val="en-US" w:eastAsia="zh-CN"/>
        </w:rPr>
        <w:t>根据自评结果改进工作，自评报告已在卫建委官网上公开，接受社会监督，提高财政资金使用透明度，并将此次评价结果作为优化项目预算安排、完善资金管理的重要依据。</w:t>
      </w:r>
    </w:p>
    <w:p>
      <w:pPr>
        <w:spacing w:line="520" w:lineRule="exact"/>
        <w:ind w:firstLine="640" w:firstLineChars="200"/>
        <w:rPr>
          <w:rFonts w:ascii="Times New Roman" w:hAnsi="Times New Roman" w:eastAsia="黑体"/>
          <w:szCs w:val="32"/>
        </w:rPr>
      </w:pPr>
      <w:r>
        <w:rPr>
          <w:rFonts w:hint="eastAsia" w:ascii="Times New Roman" w:hAnsi="Times New Roman" w:eastAsia="黑体"/>
          <w:szCs w:val="32"/>
          <w:lang w:val="en-US" w:eastAsia="zh-CN"/>
        </w:rPr>
        <w:t>十</w:t>
      </w:r>
      <w:r>
        <w:rPr>
          <w:rFonts w:ascii="Times New Roman" w:hAnsi="Times New Roman" w:eastAsia="黑体"/>
          <w:szCs w:val="32"/>
        </w:rPr>
        <w:t>、其他需要说明的情况</w:t>
      </w:r>
    </w:p>
    <w:p>
      <w:pPr>
        <w:widowControl/>
        <w:spacing w:line="600" w:lineRule="exact"/>
        <w:ind w:firstLine="640" w:firstLineChars="200"/>
        <w:rPr>
          <w:rFonts w:hint="eastAsia" w:ascii="仿宋" w:hAnsi="仿宋" w:eastAsia="仿宋" w:cs="仿宋"/>
          <w:b w:val="0"/>
          <w:bCs/>
          <w:szCs w:val="32"/>
          <w:lang w:val="en-US" w:eastAsia="zh-CN"/>
        </w:rPr>
      </w:pPr>
      <w:r>
        <w:rPr>
          <w:rFonts w:hint="eastAsia" w:ascii="仿宋" w:hAnsi="仿宋" w:eastAsia="仿宋" w:cs="仿宋"/>
          <w:b w:val="0"/>
          <w:bCs/>
          <w:szCs w:val="32"/>
          <w:lang w:val="en-US" w:eastAsia="zh-CN"/>
        </w:rPr>
        <w:t>无</w:t>
      </w:r>
    </w:p>
    <w:p>
      <w:pPr>
        <w:spacing w:line="520" w:lineRule="exact"/>
        <w:ind w:firstLine="640" w:firstLineChars="200"/>
        <w:rPr>
          <w:rFonts w:ascii="Times New Roman" w:hAnsi="Times New Roman"/>
          <w:szCs w:val="32"/>
        </w:rPr>
      </w:pPr>
    </w:p>
    <w:p>
      <w:pPr>
        <w:spacing w:line="520" w:lineRule="exact"/>
        <w:ind w:firstLine="640" w:firstLineChars="200"/>
        <w:rPr>
          <w:rFonts w:ascii="Times New Roman" w:hAnsi="Times New Roman"/>
          <w:szCs w:val="32"/>
        </w:rPr>
      </w:pPr>
      <w:r>
        <w:rPr>
          <w:rFonts w:ascii="Times New Roman" w:hAnsi="Times New Roman"/>
          <w:szCs w:val="32"/>
        </w:rPr>
        <w:t>附件：1、部门整体支出绩效评价基础数据表</w:t>
      </w:r>
    </w:p>
    <w:p>
      <w:pPr>
        <w:spacing w:line="520" w:lineRule="exact"/>
        <w:ind w:firstLine="1596" w:firstLineChars="499"/>
        <w:rPr>
          <w:rFonts w:ascii="Times New Roman" w:hAnsi="Times New Roman"/>
          <w:szCs w:val="32"/>
        </w:rPr>
      </w:pPr>
      <w:r>
        <w:rPr>
          <w:rFonts w:ascii="Times New Roman" w:hAnsi="Times New Roman"/>
          <w:szCs w:val="32"/>
        </w:rPr>
        <w:t>2、部门整体支出绩效自评表</w:t>
      </w:r>
    </w:p>
    <w:p>
      <w:pPr>
        <w:spacing w:line="520" w:lineRule="exact"/>
        <w:ind w:firstLine="1596" w:firstLineChars="499"/>
        <w:rPr>
          <w:rFonts w:ascii="Times New Roman" w:hAnsi="Times New Roman"/>
          <w:szCs w:val="32"/>
        </w:rPr>
      </w:pPr>
      <w:r>
        <w:rPr>
          <w:rFonts w:ascii="Times New Roman" w:hAnsi="Times New Roman"/>
          <w:szCs w:val="32"/>
        </w:rPr>
        <w:t>3、项目支出绩效自评表（每个一级项目支出一张表）</w:t>
      </w:r>
    </w:p>
    <w:p>
      <w:pPr>
        <w:spacing w:line="600" w:lineRule="exact"/>
        <w:rPr>
          <w:rFonts w:ascii="Times New Roman" w:hAnsi="Times New Roman" w:eastAsia="黑体"/>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0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38560"/>
    <w:multiLevelType w:val="singleLevel"/>
    <w:tmpl w:val="BAA38560"/>
    <w:lvl w:ilvl="0" w:tentative="0">
      <w:start w:val="2"/>
      <w:numFmt w:val="chineseCounting"/>
      <w:suff w:val="nothing"/>
      <w:lvlText w:val="（%1）"/>
      <w:lvlJc w:val="left"/>
      <w:rPr>
        <w:rFonts w:hint="eastAsia"/>
      </w:rPr>
    </w:lvl>
  </w:abstractNum>
  <w:abstractNum w:abstractNumId="1">
    <w:nsid w:val="1F78CF68"/>
    <w:multiLevelType w:val="singleLevel"/>
    <w:tmpl w:val="1F78CF68"/>
    <w:lvl w:ilvl="0" w:tentative="0">
      <w:start w:val="1"/>
      <w:numFmt w:val="chineseCounting"/>
      <w:suff w:val="nothing"/>
      <w:lvlText w:val="%1、"/>
      <w:lvlJc w:val="left"/>
      <w:rPr>
        <w:rFonts w:hint="eastAsia"/>
      </w:rPr>
    </w:lvl>
  </w:abstractNum>
  <w:abstractNum w:abstractNumId="2">
    <w:nsid w:val="3494029F"/>
    <w:multiLevelType w:val="singleLevel"/>
    <w:tmpl w:val="3494029F"/>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118BC"/>
    <w:rsid w:val="02675CF1"/>
    <w:rsid w:val="037819B0"/>
    <w:rsid w:val="038F06F1"/>
    <w:rsid w:val="039F79D2"/>
    <w:rsid w:val="03C24737"/>
    <w:rsid w:val="07A916DE"/>
    <w:rsid w:val="081E5422"/>
    <w:rsid w:val="08BA23FA"/>
    <w:rsid w:val="0C990361"/>
    <w:rsid w:val="0CCD47D5"/>
    <w:rsid w:val="0FC1046A"/>
    <w:rsid w:val="118F073A"/>
    <w:rsid w:val="169118BC"/>
    <w:rsid w:val="1CB347A4"/>
    <w:rsid w:val="1FFB9C26"/>
    <w:rsid w:val="21D42767"/>
    <w:rsid w:val="278A6572"/>
    <w:rsid w:val="2BD51C11"/>
    <w:rsid w:val="32856D27"/>
    <w:rsid w:val="3571626C"/>
    <w:rsid w:val="382019EA"/>
    <w:rsid w:val="390A7522"/>
    <w:rsid w:val="3BAEDA34"/>
    <w:rsid w:val="3CD96BF0"/>
    <w:rsid w:val="3D62525B"/>
    <w:rsid w:val="3DF27C6A"/>
    <w:rsid w:val="3E4F22C8"/>
    <w:rsid w:val="3FED4EBF"/>
    <w:rsid w:val="412E6D11"/>
    <w:rsid w:val="41B76CFD"/>
    <w:rsid w:val="46B22A95"/>
    <w:rsid w:val="4B876778"/>
    <w:rsid w:val="4FFD7078"/>
    <w:rsid w:val="5343275C"/>
    <w:rsid w:val="54A9392F"/>
    <w:rsid w:val="565769BC"/>
    <w:rsid w:val="567E51BF"/>
    <w:rsid w:val="57221125"/>
    <w:rsid w:val="59C3132D"/>
    <w:rsid w:val="5E2B5ACE"/>
    <w:rsid w:val="65C92CC3"/>
    <w:rsid w:val="6B76EAAD"/>
    <w:rsid w:val="732C3003"/>
    <w:rsid w:val="76DFB309"/>
    <w:rsid w:val="7D7FE385"/>
    <w:rsid w:val="7DEF0FAA"/>
    <w:rsid w:val="7DEFDA3F"/>
    <w:rsid w:val="7E4378A1"/>
    <w:rsid w:val="7EE5242A"/>
    <w:rsid w:val="7EFF4F7B"/>
    <w:rsid w:val="7FAF7304"/>
    <w:rsid w:val="7FD7FD2C"/>
    <w:rsid w:val="BAEFD77D"/>
    <w:rsid w:val="BDFBCF71"/>
    <w:rsid w:val="CFFFDD6E"/>
    <w:rsid w:val="D3D7CD2F"/>
    <w:rsid w:val="D6C313FF"/>
    <w:rsid w:val="DFF819C3"/>
    <w:rsid w:val="ED77AAEF"/>
    <w:rsid w:val="F97DEB42"/>
    <w:rsid w:val="FBD91803"/>
    <w:rsid w:val="FEBF408F"/>
    <w:rsid w:val="FF2F089A"/>
    <w:rsid w:val="FF708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方正小标宋简体" w:eastAsia="方正小标宋简体" w:cs="方正小标宋简体" w:hAnsiTheme="minorHAnsi"/>
      <w:color w:val="000000"/>
      <w:sz w:val="24"/>
      <w:szCs w:val="24"/>
      <w:lang w:val="en-US" w:eastAsia="zh-CN" w:bidi="ar-SA"/>
    </w:rPr>
  </w:style>
  <w:style w:type="paragraph" w:styleId="3">
    <w:name w:val="Normal Indent"/>
    <w:basedOn w:val="1"/>
    <w:qFormat/>
    <w:uiPriority w:val="99"/>
    <w:pPr>
      <w:ind w:firstLine="600" w:firstLineChars="200"/>
    </w:pPr>
    <w:rPr>
      <w:rFonts w:ascii="仿宋_GB2312"/>
      <w:sz w:val="30"/>
      <w:szCs w:val="30"/>
    </w:rPr>
  </w:style>
  <w:style w:type="paragraph" w:styleId="4">
    <w:name w:val="Body Text"/>
    <w:basedOn w:val="1"/>
    <w:semiHidden/>
    <w:qFormat/>
    <w:uiPriority w:val="0"/>
    <w:rPr>
      <w:rFonts w:ascii="宋体" w:hAnsi="宋体" w:eastAsia="宋体" w:cs="宋体"/>
      <w:sz w:val="21"/>
      <w:szCs w:val="21"/>
      <w:lang w:val="en-US" w:eastAsia="en-US" w:bidi="ar-SA"/>
    </w:rPr>
  </w:style>
  <w:style w:type="paragraph" w:styleId="5">
    <w:name w:val="Body Text First Indent"/>
    <w:basedOn w:val="4"/>
    <w:unhideWhenUsed/>
    <w:qFormat/>
    <w:uiPriority w:val="99"/>
    <w:pPr>
      <w:ind w:firstLine="420" w:firstLineChars="100"/>
    </w:pPr>
  </w:style>
  <w:style w:type="paragraph" w:customStyle="1" w:styleId="8">
    <w:name w:val="无间隔1"/>
    <w:basedOn w:val="5"/>
    <w:next w:val="1"/>
    <w:qFormat/>
    <w:uiPriority w:val="99"/>
    <w:rPr>
      <w:rFonts w:ascii="Calibri" w:hAnsi="Calibri"/>
      <w:sz w:val="21"/>
      <w:szCs w:val="21"/>
    </w:rPr>
  </w:style>
  <w:style w:type="paragraph" w:styleId="9">
    <w:name w:val="List Paragraph"/>
    <w:basedOn w:val="1"/>
    <w:qFormat/>
    <w:uiPriority w:val="99"/>
    <w:pPr>
      <w:ind w:firstLine="420" w:firstLineChars="200"/>
    </w:pPr>
    <w:rPr>
      <w:rFonts w:ascii="Calibri" w:hAnsi="Calibri"/>
      <w:szCs w:val="22"/>
    </w:rPr>
  </w:style>
  <w:style w:type="paragraph" w:customStyle="1" w:styleId="10">
    <w:name w:val="列出段落1"/>
    <w:basedOn w:val="1"/>
    <w:qFormat/>
    <w:uiPriority w:val="0"/>
    <w:pPr>
      <w:ind w:firstLine="420" w:firstLineChars="200"/>
    </w:pPr>
  </w:style>
  <w:style w:type="paragraph" w:customStyle="1" w:styleId="11">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2026-04-16T03:29:00Z</dcterms:created>
  <dc:creator>Administrator</dc:creator>
  <cp:lastModifiedBy>Administrator</cp:lastModifiedBy>
  <cp:lastPrinted>2026-04-28T01:37:00Z</cp:lastPrinted>
  <dcterms:modified xsi:type="dcterms:W3CDTF">2026-05-06T03:44:46Z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B8FB4953F18DB4CD41B6EE694BBD0A34_42</vt:lpwstr>
  </property>
</Properties>
</file>