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2022年益阳市健康民生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绩效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自评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default" w:ascii="黑体" w:hAnsi="黑体" w:eastAsia="黑体" w:cs="黑体"/>
          <w:sz w:val="32"/>
          <w:szCs w:val="32"/>
        </w:rPr>
        <w:t>概</w:t>
      </w:r>
      <w:r>
        <w:rPr>
          <w:rFonts w:hint="eastAsia" w:ascii="黑体" w:hAnsi="黑体" w:eastAsia="黑体" w:cs="黑体"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2" w:firstLineChars="200"/>
        <w:textAlignment w:val="auto"/>
        <w:rPr>
          <w:rFonts w:hint="default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市人民政府办公室于2021年1月印发了《益阳市健康民生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项目实施方案》(益政办函[2021]2号),免费为每名符合条件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的孕妇开展1次外周血胎儿游离DNA产前筛查、地中海贫血基因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检测、遗传性耳聋基因检测，免费为每名符合条件的新生儿开展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1次48种遗传代谢病串联质谱检测，免费为高新区户籍孕妇开展1次单基因遗传病扩展性携带者筛查、所生新生儿开展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1次全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基因组检测。同年6月启动项目实施</w:t>
      </w:r>
      <w:r>
        <w:rPr>
          <w:rFonts w:hint="default" w:ascii="仿宋_GB2312" w:hAnsi="仿宋_GB2312" w:eastAsia="仿宋_GB2312" w:cs="仿宋_GB2312"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12"/>
          <w:sz w:val="32"/>
          <w:szCs w:val="32"/>
          <w:lang w:eastAsia="zh-CN"/>
        </w:rPr>
        <w:t>根据项目资金管理要求，按照现行财政体制，市本级和两区（赫山区、资阳区）按照4：6比例承担。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市本级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分别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承担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孕妇外周血胎儿游离DNA产前筛查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遗传性耳聋基因检测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地中海贫血基因检测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新生儿48种遗传代谢病串联质谱检测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320元/人、60元/人、78元/人、79.2元/人。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二、工作开展情况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组织领导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全市妇幼健康工作会议上对健康民生项目进行统一安排部署。各县市区均进行专题研究，并层层召开会议，安排部署项目工作。按照项目工作要求，市县均明确各项目负责人，及时出台相关项目实施方案，成立项目工作领导小组和技术指导小组，确保工作落到实处。将健康民生项目纳入卫生健康、妇幼健康重点工作考核，层层压实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（二）加强业务培训。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县先后举办了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健康民生项目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培训班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，共计培训项目管理人员和卫生技术人员近700人次，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各级卫生健康部门、妇幼保健机构、助产机构、危重孕产妇救治中心以及乡镇卫生院(社区服务中心)相关人员均接受了培训,真正实现了全覆盖、同质化培训。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（三）加强督导质控。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市级开展专项督导共2次，覆盖所有区县市，将健康民生项目纳入年终妇幼健康重点工作考核内容。采取线上线下相结合的方式加强项目质控，并定期通报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,要求各区县（市）进行自查和整改。8个区县（市）均开展了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多次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督导,确保了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（四）加强宣传教育。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将健康民生项目纳入了孕妇学校、家长学校、新婚学校等课堂授课内容。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利用“世界地贫日”、“预防出生缺陷日”等广泛开展专题讲座、义诊、科普进校园、进社区等线上线下宣传活动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微信公众号、网络直播、宣传义诊等多种形式宣传，全面提升了妇女、儿童、家长知晓率。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 w:bidi="ar-SA"/>
        </w:rPr>
        <w:t xml:space="preserve">  </w:t>
      </w:r>
      <w:r>
        <w:rPr>
          <w:rFonts w:hint="default" w:ascii="黑体" w:hAnsi="黑体" w:eastAsia="黑体"/>
          <w:sz w:val="32"/>
          <w:szCs w:val="32"/>
        </w:rPr>
        <w:t>三、综合评价结论</w:t>
      </w:r>
    </w:p>
    <w:p>
      <w:pPr>
        <w:pStyle w:val="2"/>
        <w:rPr>
          <w:rFonts w:hint="default"/>
          <w:lang w:eastAsia="zh-CN"/>
        </w:rPr>
      </w:pPr>
      <w:r>
        <w:rPr>
          <w:rFonts w:hint="default"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自评分</w:t>
      </w:r>
      <w:r>
        <w:rPr>
          <w:rFonts w:hint="default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分，</w:t>
      </w:r>
      <w:r>
        <w:rPr>
          <w:rFonts w:hint="default" w:ascii="仿宋" w:hAnsi="仿宋" w:eastAsia="仿宋" w:cs="仿宋"/>
          <w:sz w:val="32"/>
          <w:szCs w:val="32"/>
        </w:rPr>
        <w:t>自评结论为优秀。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、绩效运行监控情况</w:t>
      </w:r>
    </w:p>
    <w:p>
      <w:pPr>
        <w:widowControl w:val="0"/>
        <w:adjustRightInd/>
        <w:snapToGrid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</w:rPr>
        <w:t>（一）项目资金使用及管理情况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2021年6月-2022年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月，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赫山</w:t>
      </w:r>
      <w:r>
        <w:rPr>
          <w:rFonts w:hint="default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资阳</w:t>
      </w:r>
      <w:r>
        <w:rPr>
          <w:rFonts w:hint="default" w:ascii="仿宋_GB2312" w:hAnsi="仿宋_GB2312" w:eastAsia="仿宋_GB2312" w:cs="仿宋_GB2312"/>
          <w:spacing w:val="11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完成孕妇外周血胎儿游离DNA产前筛查6883例、地中海贫血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基因检测7979例、遗传性耳聋基因检测8035、新生儿48种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遗传代谢病串联质谱检测7825例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。共拨付资金422.66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，预算执行率63.6%。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zh-CN"/>
        </w:rPr>
        <w:t>市、县均应设立项目管理部门，严格按照国家专项资金管理要求，设立专户，专款专用。各级项目管理部门负责本级项目资金的使用管理和监督检查，负责制定本辖区项目资金的详细运转流程，建立“钱随事走”，按量化考核与资金分配相结合的精细化资金管理制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 w:bidi="ar-SA"/>
        </w:rPr>
        <w:t>总体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绩效目标完成情况。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2022年项目目标为：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健康民生项目覆盖率≥70%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优生科学知识知晓率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＞80%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</w:rPr>
        <w:t>两区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外周血胎儿游离DNA产前筛查（NIPT）检测率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75%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%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以上，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耳聋基因检测率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地中海贫血基因检测率、串联质谱检测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率均达80%以上。</w:t>
      </w:r>
    </w:p>
    <w:p>
      <w:pPr>
        <w:pStyle w:val="8"/>
        <w:numPr>
          <w:ilvl w:val="0"/>
          <w:numId w:val="0"/>
        </w:numPr>
        <w:ind w:firstLine="616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/>
          <w:spacing w:val="-6"/>
          <w:sz w:val="32"/>
          <w:szCs w:val="32"/>
          <w:lang w:eastAsia="zh-CN"/>
        </w:rPr>
        <w:t>（三）绩效指标完成情况。每月收集掌握项目进展情况，定期调度、通报，2022年，两区四个项目覆盖率均达75%以上（目标</w:t>
      </w:r>
      <w:r>
        <w:rPr>
          <w:rFonts w:hint="default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＞</w:t>
      </w:r>
      <w:r>
        <w:rPr>
          <w:rFonts w:hint="default" w:ascii="仿宋_GB2312" w:hAnsi="华文仿宋" w:eastAsia="仿宋_GB2312"/>
          <w:spacing w:val="-6"/>
          <w:sz w:val="32"/>
          <w:szCs w:val="32"/>
          <w:lang w:eastAsia="zh-CN"/>
        </w:rPr>
        <w:t>70%），</w:t>
      </w:r>
      <w:r>
        <w:rPr>
          <w:rFonts w:ascii="Times New Roman" w:hAnsi="Times New Roman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优生科学知识知晓率</w:t>
      </w:r>
      <w:r>
        <w:rPr>
          <w:rFonts w:hint="default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80%以上。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全市活产出生缺陷发生率74.36/万，较去年同期（77.84/万）下降4.47%；围产儿出生缺陷发生率92.99/万，较去年同期（93.66/万）下降0.72%。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、存在的问题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其它需要说明的问题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年初预算2021—2022年项目资金664.5万元，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实际执行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422.66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，预算执行率63.6%。主要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原因一是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年初预算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、2022年项目资金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经招投标及前期筹备实际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到2021年7月才正式启动，项目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执行时间为2021年7月至2022年12月。二是出生人口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连年下降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，预计人数有偏差。</w:t>
      </w:r>
    </w:p>
    <w:p>
      <w:pPr>
        <w:pStyle w:val="8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CESI黑体-GB13000" w:hAnsi="CESI黑体-GB13000" w:eastAsia="CESI黑体-GB13000" w:cs="CESI黑体-GB13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F105F"/>
    <w:multiLevelType w:val="singleLevel"/>
    <w:tmpl w:val="A7FF105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YjlmMDQ2YzdkNzdjM2ViZWVjOGI4MGNlNDE1OWMifQ=="/>
  </w:docVars>
  <w:rsids>
    <w:rsidRoot w:val="00C92358"/>
    <w:rsid w:val="0018410D"/>
    <w:rsid w:val="00B71CC8"/>
    <w:rsid w:val="00C92358"/>
    <w:rsid w:val="00CD5B82"/>
    <w:rsid w:val="00EB4513"/>
    <w:rsid w:val="00EC0628"/>
    <w:rsid w:val="00FB25F3"/>
    <w:rsid w:val="141259D8"/>
    <w:rsid w:val="14E3796F"/>
    <w:rsid w:val="1C9D190D"/>
    <w:rsid w:val="3D962926"/>
    <w:rsid w:val="6970183E"/>
    <w:rsid w:val="697430ED"/>
    <w:rsid w:val="6AF7817C"/>
    <w:rsid w:val="78842BEB"/>
    <w:rsid w:val="79CB6A6D"/>
    <w:rsid w:val="7E9D0FC5"/>
    <w:rsid w:val="7FFE198C"/>
    <w:rsid w:val="9BBFE179"/>
    <w:rsid w:val="E7DDF9B1"/>
    <w:rsid w:val="FBFE4DE9"/>
    <w:rsid w:val="FF7F20B1"/>
    <w:rsid w:val="FF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"/>
    <w:basedOn w:val="1"/>
    <w:next w:val="4"/>
    <w:qFormat/>
    <w:uiPriority w:val="99"/>
    <w:rPr>
      <w:rFonts w:eastAsia="仿宋_GB2312"/>
      <w:sz w:val="30"/>
      <w:szCs w:val="30"/>
    </w:rPr>
  </w:style>
  <w:style w:type="paragraph" w:customStyle="1" w:styleId="4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1">
    <w:name w:val="Heading4"/>
    <w:basedOn w:val="1"/>
    <w:next w:val="1"/>
    <w:qFormat/>
    <w:uiPriority w:val="99"/>
    <w:pPr>
      <w:spacing w:line="360" w:lineRule="auto"/>
      <w:ind w:left="198"/>
    </w:pPr>
    <w:rPr>
      <w:rFonts w:ascii="Arial" w:hAnsi="Arial"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1282</Characters>
  <Lines>3</Lines>
  <Paragraphs>1</Paragraphs>
  <TotalTime>2</TotalTime>
  <ScaleCrop>false</ScaleCrop>
  <LinksUpToDate>false</LinksUpToDate>
  <CharactersWithSpaces>1290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2022-12-17T07:08:00Z</dcterms:created>
  <dc:creator>Administrator</dc:creator>
  <cp:lastModifiedBy>金梦辉</cp:lastModifiedBy>
  <dcterms:modified xsi:type="dcterms:W3CDTF">2023-03-16T15:01:02Z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CEAD2100E09248EE87F408C39BE4A190</vt:lpwstr>
  </property>
</Properties>
</file>