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r>
        <w:rPr>
          <w:rFonts w:ascii="华文楷体" w:hAnsi="华文楷体" w:eastAsia="华文楷体" w:cs="宋体"/>
          <w:b/>
          <w:sz w:val="44"/>
        </w:rPr>
        <w:pict>
          <v:shape id="_x0000_i1025" o:spt="136" type="#_x0000_t136" style="height:36pt;width:360pt;" fillcolor="#336699" filled="t" stroked="f" coordsize="21600,21600">
            <v:path/>
            <v:fill on="t" focussize="0,0"/>
            <v:stroke on="f"/>
            <v:imagedata o:title=""/>
            <o:lock v:ext="edit"/>
            <v:textpath on="t" fitshape="t" fitpath="t" trim="t" xscale="f" string="2019年度部门决算" style="font-family:宋体;font-size:36pt;v-text-align:center;"/>
            <v:shadow on="t" color="#B2B2B2" opacity="52429f" offset="3pt,2pt"/>
            <w10:wrap type="none"/>
            <w10:anchorlock/>
          </v:shape>
        </w:pict>
      </w: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8"/>
          <w:szCs w:val="48"/>
        </w:rPr>
      </w:pPr>
      <w:r>
        <w:rPr>
          <w:rFonts w:hint="eastAsia" w:ascii="宋体" w:hAnsi="宋体" w:eastAsia="宋体" w:cs="宋体"/>
          <w:sz w:val="48"/>
          <w:szCs w:val="48"/>
        </w:rPr>
        <w:t>编制：益阳市中心医院</w:t>
      </w: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方正小标宋_GBK" w:hAnsi="方正小标宋_GBK" w:eastAsia="方正小标宋_GBK" w:cs="方正小标宋_GBK"/>
          <w:b/>
          <w:sz w:val="44"/>
        </w:rPr>
      </w:pPr>
      <w:r>
        <w:rPr>
          <w:rFonts w:ascii="宋体" w:hAnsi="宋体" w:eastAsia="宋体" w:cs="宋体"/>
          <w:b/>
          <w:sz w:val="44"/>
        </w:rPr>
        <w:t>目</w:t>
      </w:r>
      <w:r>
        <w:rPr>
          <w:rFonts w:hint="eastAsia" w:ascii="宋体" w:hAnsi="宋体" w:eastAsia="宋体" w:cs="宋体"/>
          <w:b/>
          <w:sz w:val="44"/>
        </w:rPr>
        <w:t xml:space="preserve">  </w:t>
      </w:r>
      <w:r>
        <w:rPr>
          <w:rFonts w:ascii="宋体" w:hAnsi="宋体" w:eastAsia="宋体" w:cs="宋体"/>
          <w:b/>
          <w:sz w:val="44"/>
        </w:rPr>
        <w:t>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 xml:space="preserve">第一部分 </w:t>
      </w:r>
      <w:r>
        <w:rPr>
          <w:rFonts w:hint="eastAsia" w:ascii="黑体" w:hAnsi="黑体" w:eastAsia="黑体" w:cs="黑体"/>
          <w:sz w:val="32"/>
        </w:rPr>
        <w:t>益阳市</w:t>
      </w:r>
      <w:r>
        <w:rPr>
          <w:rFonts w:ascii="黑体" w:hAnsi="黑体" w:eastAsia="黑体" w:cs="黑体"/>
          <w:sz w:val="32"/>
        </w:rPr>
        <w:t xml:space="preserve">中心医院概况 </w:t>
      </w:r>
    </w:p>
    <w:p>
      <w:pPr>
        <w:rPr>
          <w:rFonts w:ascii="楷体" w:hAnsi="楷体" w:eastAsia="楷体" w:cs="楷体"/>
          <w:sz w:val="32"/>
        </w:rPr>
      </w:pPr>
      <w:r>
        <w:rPr>
          <w:rFonts w:ascii="楷体" w:hAnsi="楷体" w:eastAsia="楷体" w:cs="楷体"/>
          <w:sz w:val="32"/>
        </w:rPr>
        <w:t>一、</w:t>
      </w:r>
      <w:r>
        <w:rPr>
          <w:rFonts w:hint="eastAsia" w:ascii="楷体" w:hAnsi="楷体" w:eastAsia="楷体" w:cs="楷体"/>
          <w:sz w:val="32"/>
        </w:rPr>
        <w:t>部门职责</w:t>
      </w:r>
    </w:p>
    <w:p>
      <w:pPr>
        <w:rPr>
          <w:rFonts w:ascii="楷体" w:hAnsi="楷体" w:eastAsia="楷体" w:cs="楷体"/>
          <w:sz w:val="32"/>
        </w:rPr>
      </w:pPr>
      <w:r>
        <w:rPr>
          <w:rFonts w:ascii="楷体" w:hAnsi="楷体" w:eastAsia="楷体" w:cs="楷体"/>
          <w:sz w:val="32"/>
        </w:rPr>
        <w:t>二、机构设置</w:t>
      </w:r>
    </w:p>
    <w:p>
      <w:pPr>
        <w:rPr>
          <w:rFonts w:ascii="楷体" w:hAnsi="楷体" w:eastAsia="楷体" w:cs="楷体"/>
          <w:sz w:val="32"/>
        </w:rPr>
      </w:pPr>
      <w:r>
        <w:rPr>
          <w:rFonts w:ascii="楷体" w:hAnsi="楷体" w:eastAsia="楷体" w:cs="楷体"/>
          <w:sz w:val="32"/>
        </w:rPr>
        <w:t>三、部门决算单位构成</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第二部分 </w:t>
      </w:r>
      <w:r>
        <w:rPr>
          <w:rFonts w:hint="eastAsia" w:ascii="黑体" w:hAnsi="黑体" w:eastAsia="黑体" w:cs="黑体"/>
          <w:sz w:val="32"/>
        </w:rPr>
        <w:t>益阳市中心</w:t>
      </w:r>
      <w:r>
        <w:rPr>
          <w:rFonts w:ascii="黑体" w:hAnsi="黑体" w:eastAsia="黑体" w:cs="黑体"/>
          <w:sz w:val="32"/>
        </w:rPr>
        <w:t>医院201</w:t>
      </w:r>
      <w:r>
        <w:rPr>
          <w:rFonts w:hint="eastAsia" w:ascii="黑体" w:hAnsi="黑体" w:eastAsia="黑体" w:cs="黑体"/>
          <w:sz w:val="32"/>
        </w:rPr>
        <w:t>9</w:t>
      </w:r>
      <w:r>
        <w:rPr>
          <w:rFonts w:ascii="黑体" w:hAnsi="黑体" w:eastAsia="黑体" w:cs="黑体"/>
          <w:sz w:val="32"/>
        </w:rPr>
        <w:t xml:space="preserve"> 年度部门决算表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第三部分</w:t>
      </w:r>
      <w:r>
        <w:rPr>
          <w:rFonts w:hint="eastAsia" w:ascii="黑体" w:hAnsi="黑体" w:eastAsia="黑体" w:cs="黑体"/>
          <w:sz w:val="32"/>
        </w:rPr>
        <w:t xml:space="preserve"> 益阳市</w:t>
      </w:r>
      <w:r>
        <w:rPr>
          <w:rFonts w:ascii="黑体" w:hAnsi="黑体" w:eastAsia="黑体" w:cs="黑体"/>
          <w:sz w:val="32"/>
        </w:rPr>
        <w:t>中心医院201</w:t>
      </w:r>
      <w:r>
        <w:rPr>
          <w:rFonts w:hint="eastAsia" w:ascii="黑体" w:hAnsi="黑体" w:eastAsia="黑体" w:cs="黑体"/>
          <w:sz w:val="32"/>
        </w:rPr>
        <w:t>9</w:t>
      </w:r>
      <w:r>
        <w:rPr>
          <w:rFonts w:ascii="黑体" w:hAnsi="黑体" w:eastAsia="黑体" w:cs="黑体"/>
          <w:sz w:val="32"/>
        </w:rPr>
        <w:t>年度部门决算情况说明</w:t>
      </w:r>
    </w:p>
    <w:p>
      <w:pPr>
        <w:jc w:val="left"/>
        <w:rPr>
          <w:rFonts w:ascii="楷体" w:hAnsi="楷体" w:eastAsia="楷体" w:cs="楷体"/>
          <w:sz w:val="32"/>
        </w:rPr>
      </w:pPr>
      <w:r>
        <w:rPr>
          <w:rFonts w:hint="eastAsia" w:ascii="楷体" w:hAnsi="楷体" w:eastAsia="楷体" w:cs="楷体"/>
          <w:sz w:val="32"/>
        </w:rPr>
        <w:t>一、收入支出决算总体情况说明</w:t>
      </w:r>
    </w:p>
    <w:p>
      <w:pPr>
        <w:jc w:val="left"/>
        <w:rPr>
          <w:rFonts w:ascii="楷体" w:hAnsi="楷体" w:eastAsia="楷体" w:cs="楷体"/>
          <w:sz w:val="32"/>
        </w:rPr>
      </w:pPr>
      <w:r>
        <w:rPr>
          <w:rFonts w:hint="eastAsia" w:ascii="楷体" w:hAnsi="楷体" w:eastAsia="楷体" w:cs="楷体"/>
          <w:sz w:val="32"/>
        </w:rPr>
        <w:t>二、收入决算情况说明</w:t>
      </w:r>
    </w:p>
    <w:p>
      <w:pPr>
        <w:jc w:val="left"/>
        <w:rPr>
          <w:rFonts w:ascii="楷体" w:hAnsi="楷体" w:eastAsia="楷体" w:cs="楷体"/>
          <w:sz w:val="32"/>
        </w:rPr>
      </w:pPr>
      <w:r>
        <w:rPr>
          <w:rFonts w:hint="eastAsia" w:ascii="楷体" w:hAnsi="楷体" w:eastAsia="楷体" w:cs="楷体"/>
          <w:sz w:val="32"/>
        </w:rPr>
        <w:t>三、支出决算情况说明</w:t>
      </w:r>
    </w:p>
    <w:p>
      <w:pPr>
        <w:jc w:val="left"/>
        <w:rPr>
          <w:rFonts w:ascii="楷体" w:hAnsi="楷体" w:eastAsia="楷体" w:cs="楷体"/>
          <w:sz w:val="32"/>
        </w:rPr>
      </w:pPr>
      <w:r>
        <w:rPr>
          <w:rFonts w:hint="eastAsia" w:ascii="楷体" w:hAnsi="楷体" w:eastAsia="楷体" w:cs="楷体"/>
          <w:sz w:val="32"/>
        </w:rPr>
        <w:t>四、财政拨款收入支出决算总体情况说明</w:t>
      </w:r>
    </w:p>
    <w:p>
      <w:pPr>
        <w:jc w:val="left"/>
        <w:rPr>
          <w:rFonts w:ascii="楷体" w:hAnsi="楷体" w:eastAsia="楷体" w:cs="楷体"/>
          <w:sz w:val="32"/>
        </w:rPr>
      </w:pPr>
      <w:r>
        <w:rPr>
          <w:rFonts w:hint="eastAsia" w:ascii="楷体" w:hAnsi="楷体" w:eastAsia="楷体" w:cs="楷体"/>
          <w:sz w:val="32"/>
        </w:rPr>
        <w:t>五、一般公共预算财政拨款支出决算情况说明</w:t>
      </w:r>
    </w:p>
    <w:p>
      <w:pPr>
        <w:jc w:val="left"/>
        <w:rPr>
          <w:rFonts w:ascii="楷体" w:hAnsi="楷体" w:eastAsia="楷体" w:cs="楷体"/>
          <w:sz w:val="32"/>
        </w:rPr>
      </w:pPr>
      <w:r>
        <w:rPr>
          <w:rFonts w:hint="eastAsia" w:ascii="楷体" w:hAnsi="楷体" w:eastAsia="楷体" w:cs="楷体"/>
          <w:sz w:val="32"/>
        </w:rPr>
        <w:t xml:space="preserve">六、一般公共预算财政拨款基本支出决算情况说明 </w:t>
      </w:r>
    </w:p>
    <w:p>
      <w:pPr>
        <w:jc w:val="left"/>
        <w:rPr>
          <w:rFonts w:ascii="楷体" w:hAnsi="楷体" w:eastAsia="楷体" w:cs="楷体"/>
          <w:sz w:val="32"/>
        </w:rPr>
      </w:pPr>
      <w:r>
        <w:rPr>
          <w:rFonts w:hint="eastAsia" w:ascii="楷体" w:hAnsi="楷体" w:eastAsia="楷体" w:cs="楷体"/>
          <w:sz w:val="32"/>
        </w:rPr>
        <w:t>七</w:t>
      </w:r>
      <w:r>
        <w:rPr>
          <w:rFonts w:ascii="楷体" w:hAnsi="楷体" w:eastAsia="楷体" w:cs="楷体"/>
          <w:sz w:val="32"/>
        </w:rPr>
        <w:t>、政府性基金预算财政拨款支出决算情况说明</w:t>
      </w:r>
    </w:p>
    <w:p>
      <w:pPr>
        <w:jc w:val="left"/>
        <w:rPr>
          <w:rFonts w:ascii="楷体" w:hAnsi="楷体" w:eastAsia="楷体" w:cs="楷体"/>
          <w:sz w:val="32"/>
        </w:rPr>
      </w:pPr>
      <w:r>
        <w:rPr>
          <w:rFonts w:hint="eastAsia" w:ascii="楷体" w:hAnsi="楷体" w:eastAsia="楷体" w:cs="楷体"/>
          <w:sz w:val="32"/>
        </w:rPr>
        <w:t>八、一般公共预算财政拨款“三公”经费支出决算情况说明</w:t>
      </w:r>
    </w:p>
    <w:p>
      <w:pPr>
        <w:jc w:val="left"/>
        <w:rPr>
          <w:rFonts w:ascii="楷体" w:hAnsi="楷体" w:eastAsia="楷体" w:cs="楷体"/>
          <w:sz w:val="32"/>
        </w:rPr>
      </w:pPr>
      <w:r>
        <w:rPr>
          <w:rFonts w:hint="eastAsia" w:ascii="楷体" w:hAnsi="楷体" w:eastAsia="楷体" w:cs="楷体"/>
          <w:sz w:val="32"/>
        </w:rPr>
        <w:t>九、预算绩效情况说明</w:t>
      </w:r>
    </w:p>
    <w:p>
      <w:pPr>
        <w:jc w:val="left"/>
        <w:rPr>
          <w:rFonts w:ascii="楷体" w:hAnsi="楷体" w:eastAsia="楷体" w:cs="楷体"/>
          <w:sz w:val="32"/>
        </w:rPr>
      </w:pPr>
      <w:r>
        <w:rPr>
          <w:rFonts w:hint="eastAsia" w:ascii="楷体" w:hAnsi="楷体" w:eastAsia="楷体" w:cs="楷体"/>
          <w:sz w:val="32"/>
        </w:rPr>
        <w:t xml:space="preserve">十、其他重要事项情况说明 </w:t>
      </w:r>
    </w:p>
    <w:p>
      <w:pPr>
        <w:rPr>
          <w:rFonts w:ascii="黑体" w:hAnsi="黑体" w:eastAsia="黑体" w:cs="黑体"/>
          <w:sz w:val="32"/>
        </w:rPr>
      </w:pPr>
    </w:p>
    <w:p>
      <w:pPr>
        <w:rPr>
          <w:rFonts w:ascii="黑体" w:hAnsi="黑体" w:eastAsia="黑体" w:cs="黑体"/>
          <w:sz w:val="32"/>
        </w:rPr>
      </w:pPr>
      <w:r>
        <w:rPr>
          <w:rFonts w:ascii="黑体" w:hAnsi="黑体" w:eastAsia="黑体" w:cs="黑体"/>
          <w:sz w:val="32"/>
        </w:rPr>
        <w:t>第四部分 名词解释</w:t>
      </w: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cs="宋体" w:asciiTheme="majorEastAsia" w:hAnsiTheme="majorEastAsia" w:eastAsiaTheme="majorEastAsia"/>
          <w:b/>
          <w:sz w:val="44"/>
          <w:szCs w:val="44"/>
        </w:rPr>
      </w:pPr>
      <w:r>
        <w:rPr>
          <w:rFonts w:cs="宋体" w:asciiTheme="majorEastAsia" w:hAnsiTheme="majorEastAsia" w:eastAsiaTheme="majorEastAsia"/>
          <w:b/>
          <w:sz w:val="44"/>
          <w:szCs w:val="44"/>
        </w:rPr>
        <w:t>第一部分</w:t>
      </w:r>
      <w:r>
        <w:rPr>
          <w:rFonts w:hint="eastAsia" w:cs="宋体" w:asciiTheme="majorEastAsia" w:hAnsiTheme="majorEastAsia" w:eastAsiaTheme="majorEastAsia"/>
          <w:b/>
          <w:sz w:val="44"/>
          <w:szCs w:val="44"/>
        </w:rPr>
        <w:t xml:space="preserve"> </w:t>
      </w:r>
      <w:r>
        <w:rPr>
          <w:rFonts w:hint="eastAsia" w:cs="黑体" w:asciiTheme="majorEastAsia" w:hAnsiTheme="majorEastAsia" w:eastAsiaTheme="majorEastAsia"/>
          <w:b/>
          <w:sz w:val="44"/>
          <w:szCs w:val="44"/>
        </w:rPr>
        <w:t>益阳市</w:t>
      </w:r>
      <w:r>
        <w:rPr>
          <w:rFonts w:cs="黑体" w:asciiTheme="majorEastAsia" w:hAnsiTheme="majorEastAsia" w:eastAsiaTheme="majorEastAsia"/>
          <w:b/>
          <w:sz w:val="44"/>
          <w:szCs w:val="44"/>
        </w:rPr>
        <w:t>中心医院</w:t>
      </w:r>
      <w:r>
        <w:rPr>
          <w:rFonts w:cs="宋体" w:asciiTheme="majorEastAsia" w:hAnsiTheme="majorEastAsia" w:eastAsiaTheme="majorEastAsia"/>
          <w:b/>
          <w:sz w:val="44"/>
          <w:szCs w:val="44"/>
        </w:rPr>
        <w:t>概况</w:t>
      </w:r>
    </w:p>
    <w:p>
      <w:pPr>
        <w:jc w:val="left"/>
        <w:rPr>
          <w:rFonts w:ascii="黑体" w:hAnsi="黑体" w:eastAsia="黑体" w:cs="黑体"/>
          <w:sz w:val="32"/>
        </w:rPr>
      </w:pPr>
    </w:p>
    <w:p>
      <w:pPr>
        <w:jc w:val="left"/>
        <w:rPr>
          <w:rFonts w:ascii="黑体" w:hAnsi="黑体" w:eastAsia="黑体" w:cs="黑体"/>
          <w:sz w:val="32"/>
        </w:rPr>
      </w:pPr>
      <w:r>
        <w:rPr>
          <w:rFonts w:ascii="黑体" w:hAnsi="黑体" w:eastAsia="黑体" w:cs="黑体"/>
          <w:sz w:val="32"/>
        </w:rPr>
        <w:t>一、</w:t>
      </w:r>
      <w:r>
        <w:rPr>
          <w:rFonts w:hint="eastAsia" w:ascii="黑体" w:hAnsi="黑体" w:eastAsia="黑体" w:cs="黑体"/>
          <w:sz w:val="32"/>
        </w:rPr>
        <w:t>部门职责</w:t>
      </w:r>
    </w:p>
    <w:p>
      <w:pPr>
        <w:widowControl/>
        <w:spacing w:line="600" w:lineRule="exact"/>
        <w:ind w:firstLine="588" w:firstLineChars="196"/>
        <w:jc w:val="left"/>
        <w:rPr>
          <w:rFonts w:ascii="仿宋" w:hAnsi="仿宋" w:eastAsia="仿宋" w:cs="Times New Roman"/>
          <w:sz w:val="30"/>
          <w:szCs w:val="30"/>
        </w:rPr>
      </w:pPr>
      <w:r>
        <w:rPr>
          <w:rFonts w:hint="eastAsia" w:ascii="仿宋" w:hAnsi="仿宋" w:eastAsia="仿宋" w:cs="Times New Roman"/>
          <w:sz w:val="30"/>
          <w:szCs w:val="30"/>
        </w:rPr>
        <w:t>益阳市中心医院是一所集医疗、教学、科研、预防保健为一体的全市唯一综合性三级甲等医院</w:t>
      </w:r>
      <w:r>
        <w:rPr>
          <w:rFonts w:hint="eastAsia" w:ascii="仿宋" w:hAnsi="仿宋" w:eastAsia="仿宋" w:cs="Times New Roman"/>
          <w:sz w:val="30"/>
          <w:szCs w:val="30"/>
        </w:rPr>
        <w:tab/>
      </w:r>
      <w:r>
        <w:rPr>
          <w:rFonts w:hint="eastAsia" w:ascii="仿宋" w:hAnsi="仿宋" w:eastAsia="仿宋" w:cs="Times New Roman"/>
          <w:sz w:val="30"/>
          <w:szCs w:val="30"/>
        </w:rPr>
        <w:t>。医院现为湘雅医学院益阳临床学院、南华大学研究生协作培养单位、南华大学临床教学医院、全国百姓放心示范医院、国家临床药物试验基地、国家级全科医师培训基地、国家级住院医师规范化培训基地。</w:t>
      </w:r>
      <w:r>
        <w:rPr>
          <w:rFonts w:hint="eastAsia" w:ascii="仿宋" w:hAnsi="仿宋" w:eastAsia="仿宋" w:cs="Times New Roman"/>
          <w:sz w:val="30"/>
          <w:szCs w:val="30"/>
        </w:rPr>
        <w:tab/>
      </w:r>
      <w:r>
        <w:rPr>
          <w:rFonts w:hint="eastAsia" w:ascii="仿宋" w:hAnsi="仿宋" w:eastAsia="仿宋" w:cs="Times New Roman"/>
          <w:sz w:val="30"/>
          <w:szCs w:val="30"/>
        </w:rPr>
        <w:tab/>
      </w:r>
      <w:r>
        <w:rPr>
          <w:rFonts w:hint="eastAsia" w:ascii="仿宋" w:hAnsi="仿宋" w:eastAsia="仿宋" w:cs="Times New Roman"/>
          <w:sz w:val="30"/>
          <w:szCs w:val="30"/>
        </w:rPr>
        <w:tab/>
      </w:r>
      <w:r>
        <w:rPr>
          <w:rFonts w:hint="eastAsia" w:ascii="仿宋" w:hAnsi="仿宋" w:eastAsia="仿宋" w:cs="Times New Roman"/>
          <w:sz w:val="30"/>
          <w:szCs w:val="30"/>
        </w:rPr>
        <w:tab/>
      </w:r>
      <w:r>
        <w:rPr>
          <w:rFonts w:hint="eastAsia" w:ascii="仿宋" w:hAnsi="仿宋" w:eastAsia="仿宋" w:cs="Times New Roman"/>
          <w:sz w:val="30"/>
          <w:szCs w:val="30"/>
        </w:rPr>
        <w:tab/>
      </w:r>
    </w:p>
    <w:p/>
    <w:p>
      <w:pPr>
        <w:ind w:left="795" w:hanging="795"/>
        <w:rPr>
          <w:rFonts w:ascii="黑体" w:hAnsi="黑体" w:eastAsia="黑体" w:cs="黑体"/>
          <w:sz w:val="32"/>
        </w:rPr>
      </w:pPr>
      <w:r>
        <w:rPr>
          <w:rFonts w:ascii="黑体" w:hAnsi="黑体" w:eastAsia="黑体" w:cs="黑体"/>
          <w:sz w:val="32"/>
        </w:rPr>
        <w:t>二、机构设置</w:t>
      </w:r>
    </w:p>
    <w:p>
      <w:pPr>
        <w:widowControl/>
        <w:spacing w:line="600" w:lineRule="exact"/>
        <w:ind w:firstLine="588" w:firstLineChars="196"/>
        <w:jc w:val="left"/>
        <w:rPr>
          <w:rFonts w:ascii="宋体" w:hAnsi="宋体" w:eastAsia="宋体" w:cs="Times New Roman"/>
          <w:sz w:val="30"/>
          <w:szCs w:val="30"/>
        </w:rPr>
      </w:pPr>
      <w:r>
        <w:rPr>
          <w:rFonts w:hint="eastAsia" w:ascii="宋体" w:hAnsi="宋体" w:eastAsia="宋体" w:cs="Times New Roman"/>
          <w:sz w:val="30"/>
          <w:szCs w:val="30"/>
        </w:rPr>
        <w:t>医院设置行政职能科室20个，临床、医技专业学科43个。行政职能科室包括院办、人事科、监察科、审计科、医务科、质控科、护理部、医保科、院感科、科教科、采购部、绩效办、离退休管理科、行政科、设备科、财务科、信息科、保卫科、党办、工会。临床、医技专业学科包括消化内科、心血管内科、小儿内科、新生儿科、急诊儿科、呼吸内科、神经内科、肾内科、肿瘤内科、内分泌科、中医科、血液内科、风湿免疫科、老干科、感染科、妇科、产科、神经外科、骨外科、普外科、泌尿外科、胸心外科、耳鼻喉科、口腔科、眼科、烧伤整形美容科、肾移植科、血透净化科、麻醉手术科、重症医学科、急诊科、急救中心、体检科、针灸理疗科、皮肤科、输血科、超声科、药剂科、放射科、检验科、核医学科、病理科、高压氧科。</w:t>
      </w:r>
    </w:p>
    <w:p>
      <w:pPr>
        <w:snapToGrid w:val="0"/>
        <w:spacing w:line="520" w:lineRule="exact"/>
        <w:ind w:firstLine="600" w:firstLineChars="200"/>
        <w:rPr>
          <w:rFonts w:ascii="仿宋" w:hAnsi="仿宋" w:eastAsia="仿宋" w:cs="仿宋"/>
          <w:sz w:val="30"/>
          <w:szCs w:val="30"/>
        </w:rPr>
      </w:pPr>
    </w:p>
    <w:p>
      <w:pPr>
        <w:ind w:left="795" w:hanging="795"/>
        <w:jc w:val="left"/>
        <w:rPr>
          <w:rFonts w:ascii="黑体" w:hAnsi="黑体" w:eastAsia="黑体" w:cs="黑体"/>
          <w:sz w:val="32"/>
        </w:rPr>
      </w:pPr>
      <w:r>
        <w:rPr>
          <w:rFonts w:ascii="黑体" w:hAnsi="黑体" w:eastAsia="黑体" w:cs="黑体"/>
          <w:sz w:val="32"/>
        </w:rPr>
        <w:t>三、部门决算单位构成</w:t>
      </w:r>
    </w:p>
    <w:p>
      <w:pPr>
        <w:ind w:firstLine="640"/>
        <w:rPr>
          <w:rFonts w:hint="eastAsia" w:ascii="仿宋" w:hAnsi="仿宋" w:eastAsia="仿宋" w:cs="仿宋"/>
          <w:sz w:val="32"/>
          <w:lang w:eastAsia="zh-CN"/>
        </w:rPr>
      </w:pPr>
      <w:r>
        <w:rPr>
          <w:rFonts w:hint="eastAsia" w:ascii="仿宋" w:hAnsi="仿宋" w:eastAsia="仿宋"/>
          <w:sz w:val="32"/>
          <w:szCs w:val="32"/>
        </w:rPr>
        <w:t>益阳市中心医院属于单表户的独立核算机构。</w:t>
      </w:r>
      <w:r>
        <w:rPr>
          <w:rFonts w:ascii="仿宋" w:hAnsi="仿宋" w:eastAsia="仿宋" w:cs="仿宋"/>
          <w:sz w:val="32"/>
        </w:rPr>
        <w:t>从决算单位构成看，</w:t>
      </w:r>
      <w:r>
        <w:rPr>
          <w:rFonts w:hint="eastAsia" w:ascii="仿宋" w:hAnsi="仿宋" w:eastAsia="仿宋"/>
          <w:sz w:val="32"/>
          <w:szCs w:val="32"/>
        </w:rPr>
        <w:t>益阳市中心医院</w:t>
      </w:r>
      <w:r>
        <w:rPr>
          <w:rFonts w:ascii="仿宋" w:hAnsi="仿宋" w:eastAsia="仿宋" w:cs="仿宋"/>
          <w:sz w:val="32"/>
        </w:rPr>
        <w:t>部门决算包括：</w:t>
      </w:r>
      <w:r>
        <w:rPr>
          <w:rFonts w:hint="eastAsia" w:ascii="仿宋" w:hAnsi="仿宋" w:eastAsia="仿宋"/>
          <w:sz w:val="32"/>
          <w:szCs w:val="32"/>
        </w:rPr>
        <w:t>益阳市中心医院</w:t>
      </w:r>
      <w:r>
        <w:rPr>
          <w:rFonts w:ascii="仿宋" w:hAnsi="仿宋" w:eastAsia="仿宋" w:cs="仿宋"/>
          <w:sz w:val="32"/>
        </w:rPr>
        <w:t>部门决算</w:t>
      </w:r>
      <w:r>
        <w:rPr>
          <w:rFonts w:hint="eastAsia" w:ascii="仿宋" w:hAnsi="仿宋" w:eastAsia="仿宋" w:cs="仿宋"/>
          <w:sz w:val="32"/>
          <w:lang w:eastAsia="zh-CN"/>
        </w:rPr>
        <w:t>。</w:t>
      </w:r>
    </w:p>
    <w:tbl>
      <w:tblPr>
        <w:tblStyle w:val="5"/>
        <w:tblW w:w="8424" w:type="dxa"/>
        <w:tblInd w:w="98" w:type="dxa"/>
        <w:tblLayout w:type="fixed"/>
        <w:tblCellMar>
          <w:top w:w="0" w:type="dxa"/>
          <w:left w:w="10" w:type="dxa"/>
          <w:bottom w:w="0" w:type="dxa"/>
          <w:right w:w="10" w:type="dxa"/>
        </w:tblCellMar>
      </w:tblPr>
      <w:tblGrid>
        <w:gridCol w:w="2212"/>
        <w:gridCol w:w="6212"/>
      </w:tblGrid>
      <w:tr>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序号</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单位名称</w:t>
            </w: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1</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宋体" w:hAnsi="宋体" w:eastAsia="宋体" w:cs="宋体"/>
                <w:sz w:val="22"/>
                <w:lang w:eastAsia="zh-CN"/>
              </w:rPr>
            </w:pPr>
            <w:r>
              <w:rPr>
                <w:rFonts w:hint="eastAsia" w:ascii="仿宋" w:hAnsi="仿宋" w:eastAsia="仿宋"/>
                <w:sz w:val="32"/>
                <w:szCs w:val="32"/>
              </w:rPr>
              <w:t>益阳市中心医院</w:t>
            </w:r>
          </w:p>
        </w:tc>
      </w:tr>
    </w:tbl>
    <w:p>
      <w:pPr>
        <w:ind w:firstLine="640"/>
        <w:rPr>
          <w:rFonts w:ascii="仿宋" w:hAnsi="仿宋" w:eastAsia="仿宋"/>
          <w:sz w:val="32"/>
          <w:szCs w:val="32"/>
        </w:rPr>
      </w:pPr>
    </w:p>
    <w:p>
      <w:pPr>
        <w:ind w:firstLine="640"/>
        <w:rPr>
          <w:rFonts w:ascii="仿宋" w:hAnsi="仿宋" w:eastAsia="仿宋"/>
          <w:sz w:val="32"/>
          <w:szCs w:val="32"/>
        </w:rPr>
      </w:pPr>
    </w:p>
    <w:p>
      <w:pPr>
        <w:ind w:firstLine="640"/>
        <w:rPr>
          <w:rFonts w:ascii="仿宋" w:hAnsi="仿宋" w:eastAsia="仿宋"/>
          <w:sz w:val="32"/>
          <w:szCs w:val="32"/>
        </w:rPr>
      </w:pPr>
    </w:p>
    <w:p>
      <w:pPr>
        <w:ind w:firstLine="640"/>
        <w:rPr>
          <w:rFonts w:ascii="仿宋" w:hAnsi="仿宋" w:eastAsia="仿宋" w:cs="仿宋"/>
          <w:sz w:val="32"/>
        </w:rPr>
      </w:pPr>
    </w:p>
    <w:p>
      <w:pPr>
        <w:ind w:firstLine="640"/>
        <w:rPr>
          <w:rFonts w:ascii="仿宋" w:hAnsi="仿宋" w:eastAsia="仿宋" w:cs="仿宋"/>
          <w:sz w:val="32"/>
        </w:rPr>
      </w:pPr>
    </w:p>
    <w:p>
      <w:pPr>
        <w:ind w:firstLine="640"/>
        <w:rPr>
          <w:rFonts w:ascii="仿宋" w:hAnsi="仿宋" w:eastAsia="仿宋" w:cs="仿宋"/>
          <w:sz w:val="32"/>
        </w:rPr>
      </w:pPr>
    </w:p>
    <w:p>
      <w:pPr>
        <w:ind w:firstLine="640"/>
        <w:rPr>
          <w:rFonts w:ascii="仿宋" w:hAnsi="仿宋" w:eastAsia="仿宋" w:cs="仿宋"/>
          <w:sz w:val="32"/>
        </w:rPr>
      </w:pPr>
    </w:p>
    <w:p>
      <w:pPr>
        <w:ind w:firstLine="640"/>
        <w:rPr>
          <w:rFonts w:ascii="仿宋" w:hAnsi="仿宋" w:eastAsia="仿宋" w:cs="仿宋"/>
          <w:sz w:val="32"/>
        </w:rPr>
      </w:pPr>
    </w:p>
    <w:p>
      <w:pPr>
        <w:ind w:firstLine="640"/>
        <w:rPr>
          <w:rFonts w:ascii="仿宋" w:hAnsi="仿宋" w:eastAsia="仿宋" w:cs="仿宋"/>
          <w:sz w:val="32"/>
        </w:rPr>
      </w:pPr>
    </w:p>
    <w:p>
      <w:pPr>
        <w:ind w:firstLine="640"/>
        <w:rPr>
          <w:rFonts w:ascii="仿宋" w:hAnsi="仿宋" w:eastAsia="仿宋" w:cs="仿宋"/>
          <w:sz w:val="32"/>
        </w:rPr>
      </w:pPr>
    </w:p>
    <w:p>
      <w:pPr>
        <w:rPr>
          <w:rFonts w:ascii="仿宋" w:hAnsi="仿宋" w:eastAsia="仿宋" w:cs="仿宋"/>
          <w:sz w:val="32"/>
        </w:rPr>
      </w:pPr>
    </w:p>
    <w:p>
      <w:pPr>
        <w:jc w:val="center"/>
        <w:rPr>
          <w:rFonts w:ascii="宋体" w:hAnsi="宋体" w:eastAsia="宋体" w:cs="宋体"/>
          <w:b/>
          <w:sz w:val="36"/>
          <w:szCs w:val="36"/>
        </w:rPr>
      </w:pPr>
      <w:r>
        <w:rPr>
          <w:rFonts w:ascii="宋体" w:hAnsi="宋体" w:eastAsia="宋体" w:cs="宋体"/>
          <w:b/>
          <w:sz w:val="36"/>
          <w:szCs w:val="36"/>
        </w:rPr>
        <w:t>第二部分</w:t>
      </w:r>
      <w:r>
        <w:rPr>
          <w:rFonts w:hint="eastAsia" w:cs="黑体" w:asciiTheme="majorEastAsia" w:hAnsiTheme="majorEastAsia" w:eastAsiaTheme="majorEastAsia"/>
          <w:b/>
          <w:sz w:val="36"/>
          <w:szCs w:val="36"/>
        </w:rPr>
        <w:t>益阳市</w:t>
      </w:r>
      <w:r>
        <w:rPr>
          <w:rFonts w:cs="黑体" w:asciiTheme="majorEastAsia" w:hAnsiTheme="majorEastAsia" w:eastAsiaTheme="majorEastAsia"/>
          <w:b/>
          <w:sz w:val="36"/>
          <w:szCs w:val="36"/>
        </w:rPr>
        <w:t>中心医院</w:t>
      </w:r>
      <w:r>
        <w:rPr>
          <w:rFonts w:ascii="方正小标宋_GBK" w:hAnsi="方正小标宋_GBK" w:eastAsia="方正小标宋_GBK" w:cs="方正小标宋_GBK"/>
          <w:b/>
          <w:sz w:val="36"/>
          <w:szCs w:val="36"/>
        </w:rPr>
        <w:t>201</w:t>
      </w:r>
      <w:r>
        <w:rPr>
          <w:rFonts w:hint="eastAsia" w:ascii="方正小标宋_GBK" w:hAnsi="方正小标宋_GBK" w:eastAsia="方正小标宋_GBK" w:cs="方正小标宋_GBK"/>
          <w:b/>
          <w:sz w:val="36"/>
          <w:szCs w:val="36"/>
        </w:rPr>
        <w:t>9</w:t>
      </w:r>
      <w:r>
        <w:rPr>
          <w:rFonts w:ascii="宋体" w:hAnsi="宋体" w:eastAsia="宋体" w:cs="宋体"/>
          <w:b/>
          <w:sz w:val="36"/>
          <w:szCs w:val="36"/>
        </w:rPr>
        <w:t>年度</w:t>
      </w:r>
    </w:p>
    <w:p>
      <w:pPr>
        <w:jc w:val="center"/>
        <w:rPr>
          <w:rFonts w:ascii="宋体" w:hAnsi="宋体" w:eastAsia="宋体" w:cs="宋体"/>
          <w:b/>
          <w:sz w:val="36"/>
          <w:szCs w:val="36"/>
        </w:rPr>
      </w:pPr>
      <w:r>
        <w:rPr>
          <w:rFonts w:ascii="宋体" w:hAnsi="宋体" w:eastAsia="宋体" w:cs="宋体"/>
          <w:b/>
          <w:sz w:val="36"/>
          <w:szCs w:val="36"/>
        </w:rPr>
        <w:t>部门决算表</w:t>
      </w:r>
    </w:p>
    <w:p>
      <w:pPr>
        <w:jc w:val="center"/>
        <w:rPr>
          <w:rFonts w:ascii="方正小标宋_GBK" w:hAnsi="方正小标宋_GBK" w:eastAsia="方正小标宋_GBK" w:cs="方正小标宋_GBK"/>
          <w:b/>
          <w:sz w:val="11"/>
          <w:szCs w:val="11"/>
        </w:rPr>
      </w:pPr>
    </w:p>
    <w:p>
      <w:pPr>
        <w:jc w:val="left"/>
        <w:rPr>
          <w:rFonts w:cs="仿宋" w:asciiTheme="minorEastAsia" w:hAnsiTheme="minorEastAsia"/>
          <w:sz w:val="24"/>
          <w:szCs w:val="24"/>
        </w:rPr>
      </w:pPr>
      <w:r>
        <w:rPr>
          <w:rFonts w:cs="仿宋" w:asciiTheme="minorEastAsia" w:hAnsiTheme="minorEastAsia"/>
          <w:sz w:val="24"/>
          <w:szCs w:val="24"/>
        </w:rPr>
        <w:t>表1：</w:t>
      </w:r>
    </w:p>
    <w:p>
      <w:pPr>
        <w:jc w:val="center"/>
        <w:rPr>
          <w:rFonts w:cs="仿宋" w:asciiTheme="minorEastAsia" w:hAnsiTheme="minorEastAsia"/>
          <w:b/>
          <w:sz w:val="28"/>
          <w:szCs w:val="28"/>
        </w:rPr>
      </w:pPr>
      <w:r>
        <w:rPr>
          <w:rFonts w:hint="eastAsia" w:cs="仿宋" w:asciiTheme="minorEastAsia" w:hAnsiTheme="minorEastAsia"/>
          <w:b/>
          <w:sz w:val="28"/>
          <w:szCs w:val="28"/>
        </w:rPr>
        <w:t>收入支出决算总表</w:t>
      </w:r>
    </w:p>
    <w:tbl>
      <w:tblPr>
        <w:tblStyle w:val="5"/>
        <w:tblW w:w="9356" w:type="dxa"/>
        <w:tblInd w:w="108" w:type="dxa"/>
        <w:tblLayout w:type="autofit"/>
        <w:tblCellMar>
          <w:top w:w="0" w:type="dxa"/>
          <w:left w:w="108" w:type="dxa"/>
          <w:bottom w:w="0" w:type="dxa"/>
          <w:right w:w="108" w:type="dxa"/>
        </w:tblCellMar>
      </w:tblPr>
      <w:tblGrid>
        <w:gridCol w:w="2576"/>
        <w:gridCol w:w="118"/>
        <w:gridCol w:w="141"/>
        <w:gridCol w:w="337"/>
        <w:gridCol w:w="1476"/>
        <w:gridCol w:w="2516"/>
        <w:gridCol w:w="536"/>
        <w:gridCol w:w="1656"/>
      </w:tblGrid>
      <w:tr>
        <w:trPr>
          <w:trHeight w:val="255" w:hRule="atLeast"/>
        </w:trPr>
        <w:tc>
          <w:tcPr>
            <w:tcW w:w="2576" w:type="dxa"/>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596" w:type="dxa"/>
            <w:gridSpan w:val="3"/>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476" w:type="dxa"/>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2516" w:type="dxa"/>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536" w:type="dxa"/>
            <w:tcBorders>
              <w:top w:val="nil"/>
              <w:left w:val="nil"/>
              <w:bottom w:val="nil"/>
              <w:right w:val="nil"/>
            </w:tcBorders>
            <w:shd w:val="clear" w:color="000000" w:fill="FFFFFF"/>
            <w:noWrap/>
            <w:vAlign w:val="center"/>
          </w:tcPr>
          <w:p>
            <w:pPr>
              <w:widowControl/>
              <w:rPr>
                <w:rFonts w:cs="宋体" w:asciiTheme="minorEastAsia" w:hAnsiTheme="minorEastAsia"/>
                <w:kern w:val="0"/>
                <w:sz w:val="20"/>
                <w:szCs w:val="20"/>
              </w:rPr>
            </w:pPr>
          </w:p>
        </w:tc>
        <w:tc>
          <w:tcPr>
            <w:tcW w:w="1656" w:type="dxa"/>
            <w:tcBorders>
              <w:top w:val="nil"/>
              <w:left w:val="nil"/>
              <w:bottom w:val="nil"/>
              <w:right w:val="nil"/>
            </w:tcBorders>
            <w:shd w:val="clear" w:color="000000" w:fill="FFFFFF"/>
            <w:noWrap/>
            <w:vAlign w:val="center"/>
          </w:tcPr>
          <w:p>
            <w:pPr>
              <w:widowControl/>
              <w:ind w:right="100"/>
              <w:jc w:val="righ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财决公开</w:t>
            </w:r>
            <w:r>
              <w:rPr>
                <w:rFonts w:cs="Times New Roman" w:asciiTheme="minorEastAsia" w:hAnsiTheme="minorEastAsia"/>
                <w:kern w:val="0"/>
                <w:sz w:val="20"/>
                <w:szCs w:val="20"/>
              </w:rPr>
              <w:t>01</w:t>
            </w:r>
            <w:r>
              <w:rPr>
                <w:rFonts w:hint="eastAsia" w:cs="宋体" w:asciiTheme="minorEastAsia" w:hAnsiTheme="minorEastAsia"/>
                <w:kern w:val="0"/>
                <w:sz w:val="20"/>
                <w:szCs w:val="20"/>
              </w:rPr>
              <w:t>表</w:t>
            </w:r>
          </w:p>
        </w:tc>
      </w:tr>
      <w:tr>
        <w:tblPrEx>
          <w:tblCellMar>
            <w:top w:w="0" w:type="dxa"/>
            <w:left w:w="108" w:type="dxa"/>
            <w:bottom w:w="0" w:type="dxa"/>
            <w:right w:w="108" w:type="dxa"/>
          </w:tblCellMar>
        </w:tblPrEx>
        <w:trPr>
          <w:trHeight w:val="300" w:hRule="atLeast"/>
        </w:trPr>
        <w:tc>
          <w:tcPr>
            <w:tcW w:w="2835" w:type="dxa"/>
            <w:gridSpan w:val="3"/>
            <w:tcBorders>
              <w:top w:val="nil"/>
              <w:left w:val="nil"/>
              <w:bottom w:val="nil"/>
              <w:right w:val="nil"/>
            </w:tcBorders>
            <w:shd w:val="clear" w:color="auto" w:fill="auto"/>
            <w:noWrap/>
            <w:vAlign w:val="bottom"/>
          </w:tcPr>
          <w:p>
            <w:pPr>
              <w:widowControl/>
              <w:jc w:val="left"/>
              <w:rPr>
                <w:rFonts w:cs="Arial" w:asciiTheme="minorEastAsia" w:hAnsiTheme="minorEastAsia"/>
                <w:color w:val="333333"/>
                <w:kern w:val="0"/>
                <w:sz w:val="20"/>
                <w:szCs w:val="20"/>
              </w:rPr>
            </w:pPr>
            <w:r>
              <w:rPr>
                <w:rFonts w:cs="Arial" w:asciiTheme="minorEastAsia" w:hAnsiTheme="minorEastAsia"/>
                <w:color w:val="333333"/>
                <w:kern w:val="0"/>
                <w:sz w:val="20"/>
                <w:szCs w:val="20"/>
              </w:rPr>
              <w:t>部门：益阳市中心医院</w:t>
            </w:r>
          </w:p>
        </w:tc>
        <w:tc>
          <w:tcPr>
            <w:tcW w:w="337" w:type="dxa"/>
            <w:tcBorders>
              <w:top w:val="nil"/>
              <w:left w:val="nil"/>
              <w:bottom w:val="nil"/>
              <w:right w:val="nil"/>
            </w:tcBorders>
            <w:shd w:val="clear" w:color="000000" w:fill="FFFFFF"/>
            <w:noWrap/>
            <w:vAlign w:val="center"/>
          </w:tcPr>
          <w:p>
            <w:pPr>
              <w:widowControl/>
              <w:jc w:val="right"/>
              <w:rPr>
                <w:rFonts w:cs="宋体" w:asciiTheme="minorEastAsia" w:hAnsiTheme="minorEastAsia"/>
                <w:color w:val="FFFFFF"/>
                <w:kern w:val="0"/>
                <w:sz w:val="20"/>
                <w:szCs w:val="20"/>
              </w:rPr>
            </w:pPr>
            <w:r>
              <w:rPr>
                <w:rFonts w:hint="eastAsia" w:cs="宋体" w:asciiTheme="minorEastAsia" w:hAnsiTheme="minorEastAsia"/>
                <w:color w:val="FFFFFF"/>
                <w:kern w:val="0"/>
                <w:sz w:val="20"/>
                <w:szCs w:val="20"/>
              </w:rPr>
              <w:t>　</w:t>
            </w:r>
          </w:p>
        </w:tc>
        <w:tc>
          <w:tcPr>
            <w:tcW w:w="1476" w:type="dxa"/>
            <w:tcBorders>
              <w:top w:val="nil"/>
              <w:left w:val="nil"/>
              <w:bottom w:val="nil"/>
              <w:right w:val="nil"/>
            </w:tcBorders>
            <w:shd w:val="clear" w:color="000000" w:fill="FFFFFF"/>
            <w:noWrap/>
            <w:vAlign w:val="center"/>
          </w:tcPr>
          <w:p>
            <w:pPr>
              <w:widowControl/>
              <w:jc w:val="right"/>
              <w:rPr>
                <w:rFonts w:cs="宋体" w:asciiTheme="minorEastAsia" w:hAnsiTheme="minorEastAsia"/>
                <w:color w:val="FFFFFF"/>
                <w:kern w:val="0"/>
                <w:sz w:val="20"/>
                <w:szCs w:val="20"/>
              </w:rPr>
            </w:pPr>
            <w:r>
              <w:rPr>
                <w:rFonts w:hint="eastAsia" w:cs="宋体" w:asciiTheme="minorEastAsia" w:hAnsiTheme="minorEastAsia"/>
                <w:color w:val="FFFFFF"/>
                <w:kern w:val="0"/>
                <w:sz w:val="20"/>
                <w:szCs w:val="20"/>
              </w:rPr>
              <w:t>　</w:t>
            </w:r>
          </w:p>
        </w:tc>
        <w:tc>
          <w:tcPr>
            <w:tcW w:w="2516" w:type="dxa"/>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536" w:type="dxa"/>
            <w:tcBorders>
              <w:top w:val="nil"/>
              <w:left w:val="nil"/>
              <w:bottom w:val="nil"/>
              <w:right w:val="nil"/>
            </w:tcBorders>
            <w:shd w:val="clear" w:color="000000" w:fill="FFFFFF"/>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56" w:type="dxa"/>
            <w:tcBorders>
              <w:top w:val="nil"/>
              <w:left w:val="nil"/>
              <w:bottom w:val="nil"/>
              <w:right w:val="nil"/>
            </w:tcBorders>
            <w:shd w:val="clear" w:color="000000" w:fill="FFFFFF"/>
            <w:noWrap/>
            <w:vAlign w:val="center"/>
          </w:tcPr>
          <w:p>
            <w:pPr>
              <w:widowControl/>
              <w:jc w:val="righ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单位：万元</w:t>
            </w:r>
          </w:p>
        </w:tc>
      </w:tr>
      <w:tr>
        <w:trPr>
          <w:trHeight w:val="439" w:hRule="atLeast"/>
        </w:trPr>
        <w:tc>
          <w:tcPr>
            <w:tcW w:w="4648" w:type="dxa"/>
            <w:gridSpan w:val="5"/>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收入</w:t>
            </w:r>
          </w:p>
        </w:tc>
        <w:tc>
          <w:tcPr>
            <w:tcW w:w="4708" w:type="dxa"/>
            <w:gridSpan w:val="3"/>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支出</w:t>
            </w:r>
          </w:p>
        </w:tc>
      </w:tr>
      <w:tr>
        <w:tblPrEx>
          <w:tblCellMar>
            <w:top w:w="0" w:type="dxa"/>
            <w:left w:w="108" w:type="dxa"/>
            <w:bottom w:w="0" w:type="dxa"/>
            <w:right w:w="108" w:type="dxa"/>
          </w:tblCellMar>
        </w:tblPrEx>
        <w:trPr>
          <w:trHeight w:val="43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项    目</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行次</w:t>
            </w:r>
          </w:p>
        </w:tc>
        <w:tc>
          <w:tcPr>
            <w:tcW w:w="1476"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决算数</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项    目</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行次</w:t>
            </w:r>
          </w:p>
        </w:tc>
        <w:tc>
          <w:tcPr>
            <w:tcW w:w="1656"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决算数</w:t>
            </w:r>
          </w:p>
        </w:tc>
      </w:tr>
      <w:tr>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栏    次</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47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栏    次</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6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r>
      <w:tr>
        <w:trPr>
          <w:trHeight w:val="480" w:hRule="atLeast"/>
        </w:trPr>
        <w:tc>
          <w:tcPr>
            <w:tcW w:w="2694"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一、一般公共预算财政拨款收入</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2315.91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五、教育支出</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35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32.71</w:t>
            </w:r>
          </w:p>
        </w:tc>
      </w:tr>
      <w:tr>
        <w:trPr>
          <w:trHeight w:val="480" w:hRule="atLeast"/>
        </w:trPr>
        <w:tc>
          <w:tcPr>
            <w:tcW w:w="2694"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二、政府性基金预算财政拨款收入</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六、科学技术支出</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29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66.00 </w:t>
            </w:r>
          </w:p>
        </w:tc>
      </w:tr>
      <w:tr>
        <w:tblPrEx>
          <w:tblCellMar>
            <w:top w:w="0" w:type="dxa"/>
            <w:left w:w="108" w:type="dxa"/>
            <w:bottom w:w="0" w:type="dxa"/>
            <w:right w:w="108" w:type="dxa"/>
          </w:tblCellMar>
        </w:tblPrEx>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三、上级补助收入</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八、社会保障和就业支出</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38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33.99</w:t>
            </w:r>
          </w:p>
        </w:tc>
      </w:tr>
      <w:tr>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四、事业收入</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123232.37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九、卫生健康支出</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39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125162.51</w:t>
            </w:r>
          </w:p>
        </w:tc>
      </w:tr>
      <w:tr>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五、经营收入</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32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六、附属单位上缴收入</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33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七、其他收入</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722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34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35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36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37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38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39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40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41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42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43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44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45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46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47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21</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48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49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23</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50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rPr>
          <w:trHeight w:val="259" w:hRule="atLeast"/>
        </w:trPr>
        <w:tc>
          <w:tcPr>
            <w:tcW w:w="2694"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用事业基金弥补收支差额</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   </w:t>
            </w:r>
          </w:p>
        </w:tc>
        <w:tc>
          <w:tcPr>
            <w:tcW w:w="25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结余分配</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82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w:t>
            </w:r>
          </w:p>
        </w:tc>
      </w:tr>
      <w:tr>
        <w:trPr>
          <w:trHeight w:val="259" w:hRule="atLeast"/>
        </w:trPr>
        <w:tc>
          <w:tcPr>
            <w:tcW w:w="2694"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年初结转和结余</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25</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906.8 </w:t>
            </w:r>
          </w:p>
        </w:tc>
        <w:tc>
          <w:tcPr>
            <w:tcW w:w="25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年末结转和结余</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52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1881.87 </w:t>
            </w:r>
          </w:p>
        </w:tc>
      </w:tr>
      <w:tr>
        <w:trPr>
          <w:trHeight w:val="259" w:hRule="atLeast"/>
        </w:trPr>
        <w:tc>
          <w:tcPr>
            <w:tcW w:w="2694"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26</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53 </w:t>
            </w:r>
          </w:p>
        </w:tc>
        <w:tc>
          <w:tcPr>
            <w:tcW w:w="165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合计</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27</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0"/>
                <w:szCs w:val="20"/>
              </w:rPr>
            </w:pPr>
            <w:r>
              <w:rPr>
                <w:rFonts w:hint="eastAsia" w:ascii="宋体" w:hAnsi="宋体" w:eastAsia="宋体" w:cs="宋体"/>
                <w:b/>
                <w:bCs/>
                <w:kern w:val="0"/>
                <w:sz w:val="20"/>
                <w:szCs w:val="20"/>
              </w:rPr>
              <w:t xml:space="preserve"> 127177.08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合计</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xml:space="preserve">54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0"/>
                <w:szCs w:val="20"/>
              </w:rPr>
            </w:pPr>
            <w:r>
              <w:rPr>
                <w:rFonts w:hint="eastAsia" w:ascii="宋体" w:hAnsi="宋体" w:eastAsia="宋体" w:cs="宋体"/>
                <w:b/>
                <w:bCs/>
                <w:kern w:val="0"/>
                <w:sz w:val="20"/>
                <w:szCs w:val="20"/>
              </w:rPr>
              <w:t>127177.08</w:t>
            </w:r>
          </w:p>
        </w:tc>
      </w:tr>
      <w:tr>
        <w:trPr>
          <w:trHeight w:val="259" w:hRule="atLeast"/>
        </w:trPr>
        <w:tc>
          <w:tcPr>
            <w:tcW w:w="7164" w:type="dxa"/>
            <w:gridSpan w:val="6"/>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注：1.本表依据《收入支出决算总表》（财决01表）进行批复公开。</w:t>
            </w:r>
          </w:p>
        </w:tc>
        <w:tc>
          <w:tcPr>
            <w:tcW w:w="536"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0"/>
                <w:szCs w:val="20"/>
              </w:rPr>
            </w:pPr>
          </w:p>
        </w:tc>
        <w:tc>
          <w:tcPr>
            <w:tcW w:w="165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0"/>
                <w:szCs w:val="20"/>
              </w:rPr>
            </w:pPr>
          </w:p>
        </w:tc>
      </w:tr>
      <w:tr>
        <w:trPr>
          <w:trHeight w:val="259" w:hRule="atLeast"/>
        </w:trPr>
        <w:tc>
          <w:tcPr>
            <w:tcW w:w="4648" w:type="dxa"/>
            <w:gridSpan w:val="5"/>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2.本表含政府性基金预算财政拨款。</w:t>
            </w:r>
          </w:p>
        </w:tc>
        <w:tc>
          <w:tcPr>
            <w:tcW w:w="251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0"/>
                <w:szCs w:val="20"/>
              </w:rPr>
            </w:pPr>
          </w:p>
        </w:tc>
        <w:tc>
          <w:tcPr>
            <w:tcW w:w="536"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0"/>
                <w:szCs w:val="20"/>
              </w:rPr>
            </w:pPr>
          </w:p>
        </w:tc>
        <w:tc>
          <w:tcPr>
            <w:tcW w:w="165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0"/>
                <w:szCs w:val="20"/>
              </w:rPr>
            </w:pPr>
          </w:p>
        </w:tc>
      </w:tr>
      <w:tr>
        <w:trPr>
          <w:trHeight w:val="259" w:hRule="atLeast"/>
        </w:trPr>
        <w:tc>
          <w:tcPr>
            <w:tcW w:w="7164" w:type="dxa"/>
            <w:gridSpan w:val="6"/>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3.本表以“万元”为金额单位（保留两位小数）。</w:t>
            </w:r>
          </w:p>
        </w:tc>
        <w:tc>
          <w:tcPr>
            <w:tcW w:w="536"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0"/>
                <w:szCs w:val="20"/>
              </w:rPr>
            </w:pPr>
          </w:p>
        </w:tc>
        <w:tc>
          <w:tcPr>
            <w:tcW w:w="165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0"/>
                <w:szCs w:val="20"/>
              </w:rPr>
            </w:pPr>
          </w:p>
        </w:tc>
      </w:tr>
      <w:tr>
        <w:trPr>
          <w:trHeight w:val="259" w:hRule="atLeast"/>
        </w:trPr>
        <w:tc>
          <w:tcPr>
            <w:tcW w:w="7164" w:type="dxa"/>
            <w:gridSpan w:val="6"/>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4.本表反映部门本年度的总收支和年末结转结余情况。</w:t>
            </w:r>
          </w:p>
        </w:tc>
        <w:tc>
          <w:tcPr>
            <w:tcW w:w="536"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0"/>
                <w:szCs w:val="20"/>
              </w:rPr>
            </w:pPr>
          </w:p>
        </w:tc>
        <w:tc>
          <w:tcPr>
            <w:tcW w:w="165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0"/>
                <w:szCs w:val="20"/>
              </w:rPr>
            </w:pPr>
          </w:p>
        </w:tc>
      </w:tr>
    </w:tbl>
    <w:p>
      <w:pPr>
        <w:jc w:val="left"/>
        <w:rPr>
          <w:rFonts w:cs="仿宋" w:asciiTheme="minorEastAsia" w:hAnsiTheme="minorEastAsia"/>
          <w:sz w:val="24"/>
          <w:szCs w:val="24"/>
        </w:rPr>
      </w:pPr>
    </w:p>
    <w:p>
      <w:pPr>
        <w:jc w:val="left"/>
        <w:rPr>
          <w:rFonts w:cs="仿宋" w:asciiTheme="minorEastAsia" w:hAnsiTheme="minorEastAsia"/>
          <w:sz w:val="28"/>
          <w:szCs w:val="28"/>
        </w:rPr>
      </w:pPr>
      <w:r>
        <w:rPr>
          <w:rFonts w:cs="仿宋" w:asciiTheme="minorEastAsia" w:hAnsiTheme="minorEastAsia"/>
          <w:sz w:val="24"/>
          <w:szCs w:val="24"/>
        </w:rPr>
        <w:t>表2：</w:t>
      </w:r>
      <w:r>
        <w:rPr>
          <w:rFonts w:hint="eastAsia" w:cs="仿宋" w:asciiTheme="minorEastAsia" w:hAnsiTheme="minorEastAsia"/>
          <w:sz w:val="24"/>
          <w:szCs w:val="24"/>
        </w:rPr>
        <w:t xml:space="preserve">                            </w:t>
      </w:r>
      <w:r>
        <w:rPr>
          <w:rFonts w:hint="eastAsia" w:cs="仿宋" w:asciiTheme="minorEastAsia" w:hAnsiTheme="minorEastAsia"/>
          <w:b/>
          <w:sz w:val="28"/>
          <w:szCs w:val="28"/>
        </w:rPr>
        <w:t>收入决算表</w:t>
      </w:r>
    </w:p>
    <w:tbl>
      <w:tblPr>
        <w:tblStyle w:val="5"/>
        <w:tblW w:w="11299" w:type="dxa"/>
        <w:tblInd w:w="108" w:type="dxa"/>
        <w:tblLayout w:type="autofit"/>
        <w:tblCellMar>
          <w:top w:w="0" w:type="dxa"/>
          <w:left w:w="108" w:type="dxa"/>
          <w:bottom w:w="0" w:type="dxa"/>
          <w:right w:w="108" w:type="dxa"/>
        </w:tblCellMar>
      </w:tblPr>
      <w:tblGrid>
        <w:gridCol w:w="916"/>
        <w:gridCol w:w="1494"/>
        <w:gridCol w:w="1134"/>
        <w:gridCol w:w="1276"/>
        <w:gridCol w:w="850"/>
        <w:gridCol w:w="1331"/>
        <w:gridCol w:w="937"/>
        <w:gridCol w:w="79"/>
        <w:gridCol w:w="914"/>
        <w:gridCol w:w="992"/>
        <w:gridCol w:w="146"/>
        <w:gridCol w:w="90"/>
        <w:gridCol w:w="1140"/>
      </w:tblGrid>
      <w:tr>
        <w:trPr>
          <w:trHeight w:val="285" w:hRule="atLeast"/>
        </w:trPr>
        <w:tc>
          <w:tcPr>
            <w:tcW w:w="3544" w:type="dxa"/>
            <w:gridSpan w:val="3"/>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部门：益阳市中心医院           </w:t>
            </w:r>
          </w:p>
        </w:tc>
        <w:tc>
          <w:tcPr>
            <w:tcW w:w="3457" w:type="dxa"/>
            <w:gridSpan w:val="3"/>
            <w:tcBorders>
              <w:top w:val="nil"/>
              <w:left w:val="nil"/>
              <w:bottom w:val="nil"/>
              <w:right w:val="nil"/>
            </w:tcBorders>
            <w:shd w:val="clear" w:color="auto" w:fill="auto"/>
            <w:noWrap/>
            <w:vAlign w:val="center"/>
          </w:tcPr>
          <w:p>
            <w:pPr>
              <w:widowControl/>
              <w:ind w:left="1405" w:leftChars="669" w:right="400" w:firstLine="1800" w:firstLineChars="900"/>
              <w:rPr>
                <w:rFonts w:ascii="宋体" w:hAnsi="宋体" w:eastAsia="宋体" w:cs="宋体"/>
                <w:kern w:val="0"/>
                <w:sz w:val="20"/>
                <w:szCs w:val="20"/>
              </w:rPr>
            </w:pPr>
          </w:p>
        </w:tc>
        <w:tc>
          <w:tcPr>
            <w:tcW w:w="1016" w:type="dxa"/>
            <w:gridSpan w:val="2"/>
            <w:tcBorders>
              <w:top w:val="nil"/>
              <w:left w:val="nil"/>
              <w:bottom w:val="nil"/>
              <w:right w:val="nil"/>
            </w:tcBorders>
            <w:shd w:val="clear" w:color="auto" w:fill="auto"/>
            <w:noWrap/>
            <w:vAlign w:val="center"/>
          </w:tcPr>
          <w:p>
            <w:pPr>
              <w:widowControl/>
              <w:ind w:firstLine="200" w:firstLineChars="100"/>
              <w:rPr>
                <w:rFonts w:ascii="宋体" w:hAnsi="宋体" w:eastAsia="宋体" w:cs="宋体"/>
                <w:kern w:val="0"/>
                <w:sz w:val="20"/>
                <w:szCs w:val="20"/>
              </w:rPr>
            </w:pPr>
          </w:p>
        </w:tc>
        <w:tc>
          <w:tcPr>
            <w:tcW w:w="2052" w:type="dxa"/>
            <w:gridSpan w:val="3"/>
            <w:tcBorders>
              <w:top w:val="nil"/>
              <w:left w:val="nil"/>
              <w:bottom w:val="nil"/>
              <w:right w:val="nil"/>
            </w:tcBorders>
            <w:shd w:val="clear" w:color="auto" w:fill="auto"/>
            <w:noWrap/>
            <w:vAlign w:val="center"/>
          </w:tcPr>
          <w:p>
            <w:pPr>
              <w:widowControl/>
              <w:ind w:firstLine="500" w:firstLineChars="250"/>
              <w:rPr>
                <w:rFonts w:ascii="宋体" w:hAnsi="宋体" w:eastAsia="宋体" w:cs="宋体"/>
                <w:kern w:val="0"/>
                <w:sz w:val="20"/>
                <w:szCs w:val="20"/>
              </w:rPr>
            </w:pPr>
            <w:r>
              <w:rPr>
                <w:rFonts w:hint="eastAsia" w:ascii="宋体" w:hAnsi="宋体" w:eastAsia="宋体" w:cs="宋体"/>
                <w:kern w:val="0"/>
                <w:sz w:val="20"/>
                <w:szCs w:val="20"/>
              </w:rPr>
              <w:t>财决公开02表</w:t>
            </w:r>
          </w:p>
        </w:tc>
        <w:tc>
          <w:tcPr>
            <w:tcW w:w="1230" w:type="dxa"/>
            <w:gridSpan w:val="2"/>
            <w:vAlign w:val="center"/>
          </w:tcPr>
          <w:p>
            <w:pPr>
              <w:widowControl/>
              <w:ind w:right="400"/>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140" w:type="dxa"/>
          <w:trHeight w:val="240" w:hRule="atLeast"/>
        </w:trPr>
        <w:tc>
          <w:tcPr>
            <w:tcW w:w="3544" w:type="dxa"/>
            <w:gridSpan w:val="3"/>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注：1.本表依据《收入决算表》（财</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决03表）进行批复。</w:t>
            </w:r>
          </w:p>
        </w:tc>
        <w:tc>
          <w:tcPr>
            <w:tcW w:w="6379" w:type="dxa"/>
            <w:gridSpan w:val="7"/>
            <w:tcBorders>
              <w:top w:val="nil"/>
              <w:left w:val="nil"/>
              <w:bottom w:val="nil"/>
              <w:right w:val="nil"/>
            </w:tcBorders>
            <w:shd w:val="clear" w:color="auto" w:fill="auto"/>
            <w:noWrap/>
            <w:vAlign w:val="center"/>
          </w:tcPr>
          <w:p>
            <w:pPr>
              <w:widowControl/>
              <w:ind w:left="202" w:leftChars="96" w:firstLine="400" w:firstLineChars="200"/>
              <w:jc w:val="left"/>
              <w:rPr>
                <w:rFonts w:ascii="宋体" w:hAnsi="宋体" w:eastAsia="宋体" w:cs="宋体"/>
                <w:kern w:val="0"/>
                <w:sz w:val="20"/>
                <w:szCs w:val="20"/>
              </w:rPr>
            </w:pPr>
            <w:r>
              <w:rPr>
                <w:rFonts w:hint="eastAsia" w:ascii="宋体" w:hAnsi="宋体" w:eastAsia="宋体" w:cs="宋体"/>
                <w:kern w:val="0"/>
                <w:sz w:val="20"/>
                <w:szCs w:val="20"/>
              </w:rPr>
              <w:t>2.本表含政府性基金预算财政拨款。            单位：万元</w:t>
            </w:r>
          </w:p>
          <w:p>
            <w:pPr>
              <w:widowControl/>
              <w:ind w:left="202" w:leftChars="96" w:firstLine="400" w:firstLineChars="200"/>
              <w:jc w:val="left"/>
              <w:rPr>
                <w:rFonts w:ascii="宋体" w:hAnsi="宋体" w:eastAsia="宋体" w:cs="宋体"/>
                <w:kern w:val="0"/>
                <w:sz w:val="20"/>
                <w:szCs w:val="20"/>
              </w:rPr>
            </w:pPr>
            <w:r>
              <w:rPr>
                <w:rFonts w:hint="eastAsia" w:ascii="宋体" w:hAnsi="宋体" w:eastAsia="宋体" w:cs="宋体"/>
                <w:kern w:val="0"/>
                <w:sz w:val="20"/>
                <w:szCs w:val="20"/>
              </w:rPr>
              <w:t>3.本表批复到项级科目。</w:t>
            </w:r>
          </w:p>
        </w:tc>
        <w:tc>
          <w:tcPr>
            <w:tcW w:w="236"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p>
        </w:tc>
      </w:tr>
      <w:tr>
        <w:trPr>
          <w:gridAfter w:val="2"/>
          <w:wAfter w:w="1230" w:type="dxa"/>
          <w:trHeight w:val="240" w:hRule="atLeast"/>
        </w:trPr>
        <w:tc>
          <w:tcPr>
            <w:tcW w:w="3544" w:type="dxa"/>
            <w:gridSpan w:val="3"/>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4.本表以“万元”为金额单位（保留两位小数）。</w:t>
            </w:r>
          </w:p>
        </w:tc>
        <w:tc>
          <w:tcPr>
            <w:tcW w:w="4394" w:type="dxa"/>
            <w:gridSpan w:val="4"/>
            <w:tcBorders>
              <w:top w:val="nil"/>
              <w:left w:val="nil"/>
              <w:bottom w:val="nil"/>
              <w:right w:val="nil"/>
            </w:tcBorders>
            <w:shd w:val="clear" w:color="auto" w:fill="auto"/>
            <w:noWrap/>
            <w:vAlign w:val="center"/>
          </w:tcPr>
          <w:p>
            <w:pPr>
              <w:widowControl/>
              <w:ind w:firstLine="600" w:firstLineChars="300"/>
              <w:jc w:val="left"/>
              <w:rPr>
                <w:rFonts w:ascii="宋体" w:hAnsi="宋体" w:eastAsia="宋体" w:cs="宋体"/>
                <w:kern w:val="0"/>
                <w:sz w:val="20"/>
                <w:szCs w:val="20"/>
              </w:rPr>
            </w:pPr>
            <w:r>
              <w:rPr>
                <w:rFonts w:hint="eastAsia" w:ascii="宋体" w:hAnsi="宋体" w:eastAsia="宋体" w:cs="宋体"/>
                <w:kern w:val="0"/>
                <w:sz w:val="20"/>
                <w:szCs w:val="20"/>
              </w:rPr>
              <w:t>5.本表反映部门本年度取得的各项收入情况。</w:t>
            </w:r>
          </w:p>
        </w:tc>
        <w:tc>
          <w:tcPr>
            <w:tcW w:w="993"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0"/>
                <w:szCs w:val="20"/>
              </w:rPr>
            </w:pPr>
          </w:p>
        </w:tc>
        <w:tc>
          <w:tcPr>
            <w:tcW w:w="1138"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0"/>
                <w:szCs w:val="20"/>
              </w:rPr>
            </w:pPr>
          </w:p>
        </w:tc>
      </w:tr>
      <w:tr>
        <w:trPr>
          <w:gridAfter w:val="2"/>
          <w:wAfter w:w="1230" w:type="dxa"/>
          <w:trHeight w:val="240" w:hRule="atLeast"/>
        </w:trPr>
        <w:tc>
          <w:tcPr>
            <w:tcW w:w="24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    目</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本年收入合计</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财政拨款收入</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上级补助收入</w:t>
            </w:r>
          </w:p>
        </w:tc>
        <w:tc>
          <w:tcPr>
            <w:tcW w:w="133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事业收入</w:t>
            </w:r>
          </w:p>
        </w:tc>
        <w:tc>
          <w:tcPr>
            <w:tcW w:w="9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经营收入</w:t>
            </w:r>
          </w:p>
        </w:tc>
        <w:tc>
          <w:tcPr>
            <w:tcW w:w="99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附属单位上缴收入</w:t>
            </w:r>
          </w:p>
        </w:tc>
        <w:tc>
          <w:tcPr>
            <w:tcW w:w="113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其他收入</w:t>
            </w:r>
          </w:p>
        </w:tc>
      </w:tr>
      <w:tr>
        <w:tblPrEx>
          <w:tblCellMar>
            <w:top w:w="0" w:type="dxa"/>
            <w:left w:w="108" w:type="dxa"/>
            <w:bottom w:w="0" w:type="dxa"/>
            <w:right w:w="108" w:type="dxa"/>
          </w:tblCellMar>
        </w:tblPrEx>
        <w:trPr>
          <w:gridAfter w:val="2"/>
          <w:wAfter w:w="1230" w:type="dxa"/>
          <w:trHeight w:val="259" w:hRule="atLeast"/>
        </w:trPr>
        <w:tc>
          <w:tcPr>
            <w:tcW w:w="9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功能分类科目编码</w:t>
            </w:r>
          </w:p>
        </w:tc>
        <w:tc>
          <w:tcPr>
            <w:tcW w:w="149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科目名称</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3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9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99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13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r>
      <w:tr>
        <w:trPr>
          <w:gridAfter w:val="2"/>
          <w:wAfter w:w="1230" w:type="dxa"/>
          <w:trHeight w:val="369" w:hRule="atLeast"/>
        </w:trPr>
        <w:tc>
          <w:tcPr>
            <w:tcW w:w="9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3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9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99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13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r>
      <w:tr>
        <w:trPr>
          <w:gridAfter w:val="2"/>
          <w:wAfter w:w="1230" w:type="dxa"/>
          <w:trHeight w:val="240" w:hRule="atLeast"/>
        </w:trPr>
        <w:tc>
          <w:tcPr>
            <w:tcW w:w="24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栏次</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w:t>
            </w:r>
          </w:p>
        </w:tc>
        <w:tc>
          <w:tcPr>
            <w:tcW w:w="13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4</w:t>
            </w:r>
          </w:p>
        </w:tc>
        <w:tc>
          <w:tcPr>
            <w:tcW w:w="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5</w:t>
            </w:r>
          </w:p>
        </w:tc>
        <w:tc>
          <w:tcPr>
            <w:tcW w:w="99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6</w:t>
            </w:r>
          </w:p>
        </w:tc>
        <w:tc>
          <w:tcPr>
            <w:tcW w:w="113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7</w:t>
            </w:r>
          </w:p>
        </w:tc>
      </w:tr>
      <w:tr>
        <w:trPr>
          <w:gridAfter w:val="2"/>
          <w:wAfter w:w="1230" w:type="dxa"/>
          <w:trHeight w:val="240" w:hRule="atLeast"/>
        </w:trPr>
        <w:tc>
          <w:tcPr>
            <w:tcW w:w="24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合计</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126270.28</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2315.91</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123232.37</w:t>
            </w:r>
          </w:p>
        </w:tc>
        <w:tc>
          <w:tcPr>
            <w:tcW w:w="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w:t>
            </w:r>
          </w:p>
        </w:tc>
        <w:tc>
          <w:tcPr>
            <w:tcW w:w="99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w:t>
            </w:r>
          </w:p>
        </w:tc>
        <w:tc>
          <w:tcPr>
            <w:tcW w:w="113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722</w:t>
            </w:r>
          </w:p>
        </w:tc>
      </w:tr>
      <w:tr>
        <w:trPr>
          <w:gridAfter w:val="2"/>
          <w:wAfter w:w="1230" w:type="dxa"/>
          <w:trHeight w:val="48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205</w:t>
            </w: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教育支出</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32.71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32.71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rPr>
          <w:gridAfter w:val="2"/>
          <w:wAfter w:w="1230" w:type="dxa"/>
          <w:trHeight w:val="497"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20599</w:t>
            </w: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其他教育支出</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32.71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32.71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rPr>
          <w:gridAfter w:val="2"/>
          <w:wAfter w:w="1230" w:type="dxa"/>
          <w:trHeight w:val="48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2059999</w:t>
            </w: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其他教育支出</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32.71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32.71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rPr>
          <w:gridAfter w:val="2"/>
          <w:wAfter w:w="1230" w:type="dxa"/>
          <w:trHeight w:val="427"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206</w:t>
            </w: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科学技术支出</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66.00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66.00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rPr>
          <w:gridAfter w:val="2"/>
          <w:wAfter w:w="1230" w:type="dxa"/>
          <w:trHeight w:val="418"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20602</w:t>
            </w: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基础研究</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rPr>
          <w:gridAfter w:val="2"/>
          <w:wAfter w:w="1230" w:type="dxa"/>
          <w:trHeight w:val="41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2060203</w:t>
            </w: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自然科学基金</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rPr>
          <w:gridAfter w:val="2"/>
          <w:wAfter w:w="1230" w:type="dxa"/>
          <w:trHeight w:val="615"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2060299</w:t>
            </w: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其他基础研究支出</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rPr>
          <w:gridAfter w:val="2"/>
          <w:wAfter w:w="1230" w:type="dxa"/>
          <w:trHeight w:val="423"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20603</w:t>
            </w: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应用研究</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rPr>
          <w:gridAfter w:val="2"/>
          <w:wAfter w:w="1230" w:type="dxa"/>
          <w:trHeight w:val="559"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2060399</w:t>
            </w: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其他应用研究支出</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rPr>
          <w:gridAfter w:val="2"/>
          <w:wAfter w:w="1230" w:type="dxa"/>
          <w:trHeight w:val="423"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20604</w:t>
            </w: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技术研究与开发</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26.00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26.00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rPr>
          <w:gridAfter w:val="2"/>
          <w:wAfter w:w="1230" w:type="dxa"/>
          <w:trHeight w:val="423"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2060402</w:t>
            </w: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应用技术研究与开发</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rPr>
          <w:gridAfter w:val="2"/>
          <w:wAfter w:w="1230" w:type="dxa"/>
          <w:trHeight w:val="423"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2060499</w:t>
            </w: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其他技术研究与开发支出</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5.00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5.00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rPr>
          <w:gridAfter w:val="2"/>
          <w:wAfter w:w="1230" w:type="dxa"/>
          <w:trHeight w:val="423"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208</w:t>
            </w: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社会保障和就业支出</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33.99</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33.99</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rPr>
          <w:gridAfter w:val="2"/>
          <w:wAfter w:w="1230" w:type="dxa"/>
          <w:trHeight w:val="426"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20805</w:t>
            </w: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行政事业单位离退休</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2.56</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2.56</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rPr>
          <w:gridAfter w:val="2"/>
          <w:wAfter w:w="1230" w:type="dxa"/>
          <w:trHeight w:val="404"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2080502</w:t>
            </w: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事业单位离退休</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2.56</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2.56</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rPr>
          <w:gridAfter w:val="2"/>
          <w:wAfter w:w="1230" w:type="dxa"/>
          <w:trHeight w:val="24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20808</w:t>
            </w: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抚恤</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31.43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31.43</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rPr>
          <w:gridAfter w:val="2"/>
          <w:wAfter w:w="1230" w:type="dxa"/>
          <w:trHeight w:val="24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2080801</w:t>
            </w: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死亡抚恤</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31.43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31.43</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rPr>
          <w:gridAfter w:val="2"/>
          <w:wAfter w:w="1230" w:type="dxa"/>
          <w:trHeight w:val="48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w:t>
            </w: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卫生健康支出</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126137.58</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2183.21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123232.37</w:t>
            </w: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722</w:t>
            </w:r>
          </w:p>
        </w:tc>
      </w:tr>
      <w:tr>
        <w:trPr>
          <w:gridAfter w:val="2"/>
          <w:wAfter w:w="1230" w:type="dxa"/>
          <w:trHeight w:val="48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21002</w:t>
            </w: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公立医院</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125281.58</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1327.1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123232.37</w:t>
            </w: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722</w:t>
            </w:r>
          </w:p>
        </w:tc>
      </w:tr>
      <w:tr>
        <w:trPr>
          <w:gridAfter w:val="2"/>
          <w:wAfter w:w="1230" w:type="dxa"/>
          <w:trHeight w:val="47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2100201</w:t>
            </w: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综合医院</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124770.35</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815.98</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123232.37</w:t>
            </w: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722</w:t>
            </w:r>
          </w:p>
        </w:tc>
      </w:tr>
      <w:tr>
        <w:trPr>
          <w:gridAfter w:val="2"/>
          <w:wAfter w:w="1230" w:type="dxa"/>
          <w:trHeight w:val="24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2100299</w:t>
            </w: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其他公立医院支出</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511.23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511.23</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rPr>
          <w:gridAfter w:val="2"/>
          <w:wAfter w:w="1230" w:type="dxa"/>
          <w:trHeight w:val="457"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21004</w:t>
            </w: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公共卫生</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856.00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856.00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rPr>
          <w:gridAfter w:val="2"/>
          <w:wAfter w:w="1230" w:type="dxa"/>
          <w:trHeight w:val="48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2100408</w:t>
            </w: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基本公共卫生服务</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11.00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11.00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rPr>
          <w:gridAfter w:val="2"/>
          <w:wAfter w:w="1230" w:type="dxa"/>
          <w:trHeight w:val="24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2100409</w:t>
            </w: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重大公共卫生专项</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453.00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453.00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rPr>
          <w:gridAfter w:val="2"/>
          <w:wAfter w:w="1230" w:type="dxa"/>
          <w:trHeight w:val="24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2100499</w:t>
            </w: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其他公共卫生支出</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392.00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392.00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rPr>
          <w:gridAfter w:val="2"/>
          <w:wAfter w:w="1230" w:type="dxa"/>
          <w:trHeight w:val="48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rPr>
          <w:gridAfter w:val="2"/>
          <w:wAfter w:w="1230" w:type="dxa"/>
          <w:trHeight w:val="48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rPr>
          <w:gridAfter w:val="2"/>
          <w:wAfter w:w="1230" w:type="dxa"/>
          <w:trHeight w:val="24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rPr>
          <w:gridAfter w:val="2"/>
          <w:wAfter w:w="1230" w:type="dxa"/>
          <w:trHeight w:val="48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rPr>
          <w:gridAfter w:val="2"/>
          <w:wAfter w:w="1230" w:type="dxa"/>
          <w:trHeight w:val="48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rPr>
          <w:gridAfter w:val="2"/>
          <w:wAfter w:w="1230" w:type="dxa"/>
          <w:trHeight w:val="48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rPr>
          <w:gridAfter w:val="2"/>
          <w:wAfter w:w="1230" w:type="dxa"/>
          <w:trHeight w:val="24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rPr>
          <w:gridAfter w:val="2"/>
          <w:wAfter w:w="1230" w:type="dxa"/>
          <w:trHeight w:val="48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rPr>
          <w:gridAfter w:val="2"/>
          <w:wAfter w:w="1230" w:type="dxa"/>
          <w:trHeight w:val="48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rPr>
          <w:gridAfter w:val="2"/>
          <w:wAfter w:w="1230" w:type="dxa"/>
          <w:trHeight w:val="48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bl>
    <w:p>
      <w:pPr>
        <w:jc w:val="left"/>
        <w:rPr>
          <w:rFonts w:cs="仿宋" w:asciiTheme="minorEastAsia" w:hAnsiTheme="minorEastAsia"/>
          <w:b/>
          <w:sz w:val="28"/>
          <w:szCs w:val="28"/>
        </w:rPr>
      </w:pPr>
      <w:r>
        <w:rPr>
          <w:rFonts w:cs="仿宋" w:asciiTheme="minorEastAsia" w:hAnsiTheme="minorEastAsia"/>
          <w:sz w:val="24"/>
          <w:szCs w:val="24"/>
        </w:rPr>
        <w:t>表3：</w:t>
      </w:r>
      <w:r>
        <w:rPr>
          <w:rFonts w:hint="eastAsia" w:cs="仿宋" w:asciiTheme="minorEastAsia" w:hAnsiTheme="minorEastAsia"/>
          <w:sz w:val="24"/>
          <w:szCs w:val="24"/>
        </w:rPr>
        <w:t xml:space="preserve">                             </w:t>
      </w:r>
      <w:r>
        <w:rPr>
          <w:rFonts w:cs="仿宋" w:asciiTheme="minorEastAsia" w:hAnsiTheme="minorEastAsia"/>
          <w:b/>
          <w:sz w:val="28"/>
          <w:szCs w:val="28"/>
        </w:rPr>
        <w:t>支出决算表</w:t>
      </w:r>
    </w:p>
    <w:tbl>
      <w:tblPr>
        <w:tblStyle w:val="5"/>
        <w:tblW w:w="11596" w:type="dxa"/>
        <w:tblInd w:w="108" w:type="dxa"/>
        <w:tblLayout w:type="fixed"/>
        <w:tblCellMar>
          <w:top w:w="0" w:type="dxa"/>
          <w:left w:w="108" w:type="dxa"/>
          <w:bottom w:w="0" w:type="dxa"/>
          <w:right w:w="108" w:type="dxa"/>
        </w:tblCellMar>
      </w:tblPr>
      <w:tblGrid>
        <w:gridCol w:w="916"/>
        <w:gridCol w:w="616"/>
        <w:gridCol w:w="1255"/>
        <w:gridCol w:w="2033"/>
        <w:gridCol w:w="1187"/>
        <w:gridCol w:w="335"/>
        <w:gridCol w:w="1276"/>
        <w:gridCol w:w="1016"/>
        <w:gridCol w:w="350"/>
        <w:gridCol w:w="506"/>
        <w:gridCol w:w="1053"/>
        <w:gridCol w:w="1053"/>
      </w:tblGrid>
      <w:tr>
        <w:trPr>
          <w:gridAfter w:val="1"/>
          <w:wAfter w:w="1053" w:type="dxa"/>
          <w:trHeight w:val="240" w:hRule="atLeast"/>
        </w:trPr>
        <w:tc>
          <w:tcPr>
            <w:tcW w:w="4820"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部门：益阳市中心医院</w:t>
            </w:r>
          </w:p>
        </w:tc>
        <w:tc>
          <w:tcPr>
            <w:tcW w:w="1522"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27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1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559"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财决公开03表</w:t>
            </w:r>
          </w:p>
        </w:tc>
      </w:tr>
      <w:tr>
        <w:tblPrEx>
          <w:tblCellMar>
            <w:top w:w="0" w:type="dxa"/>
            <w:left w:w="108" w:type="dxa"/>
            <w:bottom w:w="0" w:type="dxa"/>
            <w:right w:w="108" w:type="dxa"/>
          </w:tblCellMar>
        </w:tblPrEx>
        <w:trPr>
          <w:gridAfter w:val="1"/>
          <w:wAfter w:w="1053" w:type="dxa"/>
          <w:trHeight w:val="240" w:hRule="atLeast"/>
        </w:trPr>
        <w:tc>
          <w:tcPr>
            <w:tcW w:w="916"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p>
        </w:tc>
        <w:tc>
          <w:tcPr>
            <w:tcW w:w="61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25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03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522"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276"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w:t>
            </w:r>
          </w:p>
        </w:tc>
        <w:tc>
          <w:tcPr>
            <w:tcW w:w="101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559"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gridAfter w:val="1"/>
          <w:wAfter w:w="1053" w:type="dxa"/>
          <w:trHeight w:val="240" w:hRule="atLeast"/>
        </w:trPr>
        <w:tc>
          <w:tcPr>
            <w:tcW w:w="6007" w:type="dxa"/>
            <w:gridSpan w:val="5"/>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注：1.本表依据《支出决算表》（财决04表）进行批复。</w:t>
            </w:r>
          </w:p>
        </w:tc>
        <w:tc>
          <w:tcPr>
            <w:tcW w:w="4536" w:type="dxa"/>
            <w:gridSpan w:val="6"/>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2.本表含政府性基金预算财政拨款。</w:t>
            </w:r>
          </w:p>
        </w:tc>
      </w:tr>
      <w:tr>
        <w:tblPrEx>
          <w:tblCellMar>
            <w:top w:w="0" w:type="dxa"/>
            <w:left w:w="108" w:type="dxa"/>
            <w:bottom w:w="0" w:type="dxa"/>
            <w:right w:w="108" w:type="dxa"/>
          </w:tblCellMar>
        </w:tblPrEx>
        <w:trPr>
          <w:gridAfter w:val="1"/>
          <w:wAfter w:w="1053" w:type="dxa"/>
          <w:trHeight w:val="240" w:hRule="atLeast"/>
        </w:trPr>
        <w:tc>
          <w:tcPr>
            <w:tcW w:w="4820"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3.本表批复到项级科目。</w:t>
            </w:r>
          </w:p>
        </w:tc>
        <w:tc>
          <w:tcPr>
            <w:tcW w:w="118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4536" w:type="dxa"/>
            <w:gridSpan w:val="6"/>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4.本表以“万元”为金额单位(保留两位小数)。</w:t>
            </w:r>
          </w:p>
        </w:tc>
      </w:tr>
      <w:tr>
        <w:tblPrEx>
          <w:tblCellMar>
            <w:top w:w="0" w:type="dxa"/>
            <w:left w:w="108" w:type="dxa"/>
            <w:bottom w:w="0" w:type="dxa"/>
            <w:right w:w="108" w:type="dxa"/>
          </w:tblCellMar>
        </w:tblPrEx>
        <w:trPr>
          <w:gridAfter w:val="1"/>
          <w:wAfter w:w="1053" w:type="dxa"/>
          <w:trHeight w:val="240" w:hRule="atLeast"/>
        </w:trPr>
        <w:tc>
          <w:tcPr>
            <w:tcW w:w="4820"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5.本表反映部门本年度各项支出情况。  </w:t>
            </w:r>
          </w:p>
        </w:tc>
        <w:tc>
          <w:tcPr>
            <w:tcW w:w="1522"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0"/>
                <w:szCs w:val="20"/>
              </w:rPr>
            </w:pPr>
          </w:p>
        </w:tc>
        <w:tc>
          <w:tcPr>
            <w:tcW w:w="1276" w:type="dxa"/>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1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856"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rPr>
          <w:gridAfter w:val="1"/>
          <w:wAfter w:w="1053" w:type="dxa"/>
          <w:trHeight w:val="240" w:hRule="atLeast"/>
        </w:trPr>
        <w:tc>
          <w:tcPr>
            <w:tcW w:w="2787"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    目</w:t>
            </w:r>
          </w:p>
        </w:tc>
        <w:tc>
          <w:tcPr>
            <w:tcW w:w="203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本年支出合计</w:t>
            </w:r>
          </w:p>
        </w:tc>
        <w:tc>
          <w:tcPr>
            <w:tcW w:w="1522"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基本支出</w:t>
            </w:r>
          </w:p>
        </w:tc>
        <w:tc>
          <w:tcPr>
            <w:tcW w:w="127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项目支出</w:t>
            </w:r>
          </w:p>
        </w:tc>
        <w:tc>
          <w:tcPr>
            <w:tcW w:w="101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上缴上级支出</w:t>
            </w:r>
          </w:p>
        </w:tc>
        <w:tc>
          <w:tcPr>
            <w:tcW w:w="856"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经营支出</w:t>
            </w:r>
          </w:p>
        </w:tc>
        <w:tc>
          <w:tcPr>
            <w:tcW w:w="105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对附属单位补助支出</w:t>
            </w:r>
          </w:p>
        </w:tc>
      </w:tr>
      <w:tr>
        <w:trPr>
          <w:gridAfter w:val="1"/>
          <w:wAfter w:w="1053" w:type="dxa"/>
          <w:trHeight w:val="259" w:hRule="atLeast"/>
        </w:trPr>
        <w:tc>
          <w:tcPr>
            <w:tcW w:w="1532"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功能分类科目编码</w:t>
            </w:r>
          </w:p>
        </w:tc>
        <w:tc>
          <w:tcPr>
            <w:tcW w:w="125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科目名称</w:t>
            </w:r>
          </w:p>
        </w:tc>
        <w:tc>
          <w:tcPr>
            <w:tcW w:w="20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52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0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85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0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r>
      <w:tr>
        <w:trPr>
          <w:gridAfter w:val="1"/>
          <w:wAfter w:w="1053" w:type="dxa"/>
          <w:trHeight w:val="259" w:hRule="atLeast"/>
        </w:trPr>
        <w:tc>
          <w:tcPr>
            <w:tcW w:w="153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2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0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52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0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85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0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r>
      <w:tr>
        <w:trPr>
          <w:gridAfter w:val="1"/>
          <w:wAfter w:w="1053" w:type="dxa"/>
          <w:trHeight w:val="240" w:hRule="atLeast"/>
        </w:trPr>
        <w:tc>
          <w:tcPr>
            <w:tcW w:w="2787"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栏次</w:t>
            </w:r>
          </w:p>
        </w:tc>
        <w:tc>
          <w:tcPr>
            <w:tcW w:w="2033" w:type="dxa"/>
            <w:tcBorders>
              <w:top w:val="nil"/>
              <w:left w:val="nil"/>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1</w:t>
            </w:r>
          </w:p>
        </w:tc>
        <w:tc>
          <w:tcPr>
            <w:tcW w:w="1522" w:type="dxa"/>
            <w:gridSpan w:val="2"/>
            <w:tcBorders>
              <w:top w:val="nil"/>
              <w:left w:val="nil"/>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w:t>
            </w:r>
          </w:p>
        </w:tc>
        <w:tc>
          <w:tcPr>
            <w:tcW w:w="1276" w:type="dxa"/>
            <w:tcBorders>
              <w:top w:val="nil"/>
              <w:left w:val="nil"/>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3</w:t>
            </w:r>
          </w:p>
        </w:tc>
        <w:tc>
          <w:tcPr>
            <w:tcW w:w="1016" w:type="dxa"/>
            <w:tcBorders>
              <w:top w:val="nil"/>
              <w:left w:val="nil"/>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4</w:t>
            </w:r>
          </w:p>
        </w:tc>
        <w:tc>
          <w:tcPr>
            <w:tcW w:w="856"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105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w:t>
            </w:r>
          </w:p>
        </w:tc>
      </w:tr>
      <w:tr>
        <w:trPr>
          <w:gridAfter w:val="1"/>
          <w:wAfter w:w="1053" w:type="dxa"/>
          <w:trHeight w:val="240" w:hRule="atLeast"/>
        </w:trPr>
        <w:tc>
          <w:tcPr>
            <w:tcW w:w="2787"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b/>
                <w:kern w:val="0"/>
                <w:sz w:val="20"/>
                <w:szCs w:val="20"/>
              </w:rPr>
            </w:pPr>
            <w:r>
              <w:rPr>
                <w:rFonts w:hint="eastAsia" w:ascii="宋体" w:hAnsi="宋体" w:eastAsia="宋体" w:cs="宋体"/>
                <w:b/>
                <w:kern w:val="0"/>
                <w:sz w:val="20"/>
                <w:szCs w:val="20"/>
              </w:rPr>
              <w:t>合计</w:t>
            </w:r>
          </w:p>
        </w:tc>
        <w:tc>
          <w:tcPr>
            <w:tcW w:w="2033"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b/>
                <w:kern w:val="0"/>
                <w:sz w:val="20"/>
                <w:szCs w:val="20"/>
              </w:rPr>
            </w:pPr>
            <w:r>
              <w:rPr>
                <w:rFonts w:hint="eastAsia" w:ascii="宋体" w:hAnsi="宋体" w:eastAsia="宋体" w:cs="宋体"/>
                <w:b/>
                <w:kern w:val="0"/>
                <w:sz w:val="20"/>
                <w:szCs w:val="20"/>
              </w:rPr>
              <w:t>125295.21</w:t>
            </w:r>
          </w:p>
        </w:tc>
        <w:tc>
          <w:tcPr>
            <w:tcW w:w="1522" w:type="dxa"/>
            <w:gridSpan w:val="2"/>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b/>
                <w:kern w:val="0"/>
                <w:sz w:val="20"/>
                <w:szCs w:val="20"/>
              </w:rPr>
            </w:pPr>
            <w:r>
              <w:rPr>
                <w:rFonts w:hint="eastAsia" w:ascii="宋体" w:hAnsi="宋体" w:eastAsia="宋体" w:cs="宋体"/>
                <w:b/>
                <w:kern w:val="0"/>
                <w:sz w:val="20"/>
                <w:szCs w:val="20"/>
              </w:rPr>
              <w:t>125295.21</w:t>
            </w:r>
          </w:p>
        </w:tc>
        <w:tc>
          <w:tcPr>
            <w:tcW w:w="1276"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b/>
                <w:kern w:val="0"/>
                <w:sz w:val="20"/>
                <w:szCs w:val="20"/>
              </w:rPr>
            </w:pPr>
          </w:p>
        </w:tc>
        <w:tc>
          <w:tcPr>
            <w:tcW w:w="1016"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b/>
                <w:kern w:val="0"/>
                <w:sz w:val="20"/>
                <w:szCs w:val="20"/>
              </w:rPr>
            </w:pPr>
            <w:r>
              <w:rPr>
                <w:rFonts w:hint="eastAsia" w:ascii="宋体" w:hAnsi="宋体" w:eastAsia="宋体" w:cs="宋体"/>
                <w:b/>
                <w:kern w:val="0"/>
                <w:sz w:val="20"/>
                <w:szCs w:val="20"/>
              </w:rPr>
              <w:t>-</w:t>
            </w:r>
          </w:p>
        </w:tc>
        <w:tc>
          <w:tcPr>
            <w:tcW w:w="85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kern w:val="0"/>
                <w:sz w:val="20"/>
                <w:szCs w:val="20"/>
              </w:rPr>
            </w:pPr>
            <w:r>
              <w:rPr>
                <w:rFonts w:hint="eastAsia" w:ascii="宋体" w:hAnsi="宋体" w:eastAsia="宋体" w:cs="宋体"/>
                <w:b/>
                <w:kern w:val="0"/>
                <w:sz w:val="20"/>
                <w:szCs w:val="20"/>
              </w:rPr>
              <w:t xml:space="preserve">   -   </w:t>
            </w:r>
          </w:p>
        </w:tc>
        <w:tc>
          <w:tcPr>
            <w:tcW w:w="105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kern w:val="0"/>
                <w:sz w:val="20"/>
                <w:szCs w:val="20"/>
              </w:rPr>
            </w:pPr>
            <w:r>
              <w:rPr>
                <w:rFonts w:hint="eastAsia" w:ascii="宋体" w:hAnsi="宋体" w:eastAsia="宋体" w:cs="宋体"/>
                <w:b/>
                <w:kern w:val="0"/>
                <w:sz w:val="20"/>
                <w:szCs w:val="20"/>
              </w:rPr>
              <w:t xml:space="preserve">        -   </w:t>
            </w:r>
          </w:p>
        </w:tc>
      </w:tr>
      <w:tr>
        <w:trPr>
          <w:gridAfter w:val="1"/>
          <w:wAfter w:w="1053" w:type="dxa"/>
          <w:trHeight w:val="480" w:hRule="atLeast"/>
        </w:trPr>
        <w:tc>
          <w:tcPr>
            <w:tcW w:w="916" w:type="dxa"/>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205</w:t>
            </w:r>
          </w:p>
        </w:tc>
        <w:tc>
          <w:tcPr>
            <w:tcW w:w="616" w:type="dxa"/>
            <w:tcBorders>
              <w:top w:val="single" w:color="auto" w:sz="4" w:space="0"/>
              <w:left w:val="nil"/>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教育支出</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32.71</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32.71</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noWrap/>
          </w:tcPr>
          <w:p>
            <w:pPr>
              <w:widowControl/>
              <w:jc w:val="right"/>
              <w:rPr>
                <w:rFonts w:ascii="宋体" w:hAnsi="宋体" w:eastAsia="宋体" w:cs="宋体"/>
                <w:kern w:val="0"/>
                <w:sz w:val="20"/>
                <w:szCs w:val="20"/>
              </w:rPr>
            </w:pPr>
          </w:p>
        </w:tc>
      </w:tr>
      <w:tr>
        <w:trPr>
          <w:gridAfter w:val="1"/>
          <w:wAfter w:w="1053" w:type="dxa"/>
          <w:trHeight w:val="240" w:hRule="atLeast"/>
        </w:trPr>
        <w:tc>
          <w:tcPr>
            <w:tcW w:w="1532"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20599</w:t>
            </w: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其他教育支出</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32.71</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32.71</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rPr>
          <w:trHeight w:val="480" w:hRule="atLeast"/>
        </w:trPr>
        <w:tc>
          <w:tcPr>
            <w:tcW w:w="1532"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2059999</w:t>
            </w: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其他教育支出</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32.71</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32.71</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rPr>
          <w:gridAfter w:val="1"/>
          <w:wAfter w:w="1053" w:type="dxa"/>
          <w:trHeight w:val="611" w:hRule="atLeast"/>
        </w:trPr>
        <w:tc>
          <w:tcPr>
            <w:tcW w:w="916" w:type="dxa"/>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206</w:t>
            </w:r>
          </w:p>
        </w:tc>
        <w:tc>
          <w:tcPr>
            <w:tcW w:w="616" w:type="dxa"/>
            <w:tcBorders>
              <w:top w:val="single" w:color="auto" w:sz="4" w:space="0"/>
              <w:left w:val="nil"/>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科学技术支出</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66.00</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66.00</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p>
        </w:tc>
        <w:tc>
          <w:tcPr>
            <w:tcW w:w="1053" w:type="dxa"/>
            <w:noWrap/>
          </w:tcPr>
          <w:p>
            <w:pPr>
              <w:widowControl/>
              <w:jc w:val="right"/>
              <w:rPr>
                <w:rFonts w:ascii="宋体" w:hAnsi="宋体" w:eastAsia="宋体" w:cs="宋体"/>
                <w:kern w:val="0"/>
                <w:sz w:val="20"/>
                <w:szCs w:val="20"/>
              </w:rPr>
            </w:pPr>
          </w:p>
        </w:tc>
      </w:tr>
      <w:tr>
        <w:trPr>
          <w:gridAfter w:val="1"/>
          <w:wAfter w:w="1053" w:type="dxa"/>
          <w:trHeight w:val="421" w:hRule="atLeast"/>
        </w:trPr>
        <w:tc>
          <w:tcPr>
            <w:tcW w:w="916" w:type="dxa"/>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20602</w:t>
            </w:r>
          </w:p>
        </w:tc>
        <w:tc>
          <w:tcPr>
            <w:tcW w:w="616" w:type="dxa"/>
            <w:tcBorders>
              <w:top w:val="single" w:color="auto" w:sz="4" w:space="0"/>
              <w:left w:val="nil"/>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基础研究</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30.00</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30.00</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p>
        </w:tc>
        <w:tc>
          <w:tcPr>
            <w:tcW w:w="1053" w:type="dxa"/>
            <w:noWrap/>
          </w:tcPr>
          <w:p>
            <w:pPr>
              <w:widowControl/>
              <w:jc w:val="right"/>
              <w:rPr>
                <w:rFonts w:ascii="宋体" w:hAnsi="宋体" w:eastAsia="宋体" w:cs="宋体"/>
                <w:kern w:val="0"/>
                <w:sz w:val="20"/>
                <w:szCs w:val="20"/>
              </w:rPr>
            </w:pPr>
          </w:p>
        </w:tc>
      </w:tr>
      <w:tr>
        <w:trPr>
          <w:gridAfter w:val="1"/>
          <w:wAfter w:w="1053" w:type="dxa"/>
          <w:trHeight w:val="412" w:hRule="atLeast"/>
        </w:trPr>
        <w:tc>
          <w:tcPr>
            <w:tcW w:w="916" w:type="dxa"/>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2060203</w:t>
            </w:r>
          </w:p>
        </w:tc>
        <w:tc>
          <w:tcPr>
            <w:tcW w:w="616" w:type="dxa"/>
            <w:tcBorders>
              <w:top w:val="single" w:color="auto" w:sz="4" w:space="0"/>
              <w:left w:val="nil"/>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自然科学基金</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20.00</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20.00</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p>
        </w:tc>
        <w:tc>
          <w:tcPr>
            <w:tcW w:w="1053" w:type="dxa"/>
            <w:noWrap/>
          </w:tcPr>
          <w:p>
            <w:pPr>
              <w:widowControl/>
              <w:jc w:val="right"/>
              <w:rPr>
                <w:rFonts w:ascii="宋体" w:hAnsi="宋体" w:eastAsia="宋体" w:cs="宋体"/>
                <w:kern w:val="0"/>
                <w:sz w:val="20"/>
                <w:szCs w:val="20"/>
              </w:rPr>
            </w:pPr>
          </w:p>
        </w:tc>
      </w:tr>
      <w:tr>
        <w:trPr>
          <w:gridAfter w:val="1"/>
          <w:wAfter w:w="1053" w:type="dxa"/>
          <w:trHeight w:val="419" w:hRule="atLeast"/>
        </w:trPr>
        <w:tc>
          <w:tcPr>
            <w:tcW w:w="916" w:type="dxa"/>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2060299</w:t>
            </w:r>
          </w:p>
        </w:tc>
        <w:tc>
          <w:tcPr>
            <w:tcW w:w="616" w:type="dxa"/>
            <w:tcBorders>
              <w:top w:val="single" w:color="auto" w:sz="4" w:space="0"/>
              <w:left w:val="nil"/>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其他基础研究支出</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10.00</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10.00</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p>
        </w:tc>
        <w:tc>
          <w:tcPr>
            <w:tcW w:w="1053" w:type="dxa"/>
            <w:noWrap/>
          </w:tcPr>
          <w:p>
            <w:pPr>
              <w:widowControl/>
              <w:jc w:val="right"/>
              <w:rPr>
                <w:rFonts w:ascii="宋体" w:hAnsi="宋体" w:eastAsia="宋体" w:cs="宋体"/>
                <w:kern w:val="0"/>
                <w:sz w:val="20"/>
                <w:szCs w:val="20"/>
              </w:rPr>
            </w:pPr>
          </w:p>
        </w:tc>
      </w:tr>
      <w:tr>
        <w:trPr>
          <w:gridAfter w:val="1"/>
          <w:wAfter w:w="1053" w:type="dxa"/>
          <w:trHeight w:val="411" w:hRule="atLeast"/>
        </w:trPr>
        <w:tc>
          <w:tcPr>
            <w:tcW w:w="916" w:type="dxa"/>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20603</w:t>
            </w:r>
          </w:p>
        </w:tc>
        <w:tc>
          <w:tcPr>
            <w:tcW w:w="616" w:type="dxa"/>
            <w:tcBorders>
              <w:top w:val="single" w:color="auto" w:sz="4" w:space="0"/>
              <w:left w:val="nil"/>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应用研究</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10.00</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10.00</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p>
        </w:tc>
        <w:tc>
          <w:tcPr>
            <w:tcW w:w="1053" w:type="dxa"/>
            <w:noWrap/>
          </w:tcPr>
          <w:p>
            <w:pPr>
              <w:widowControl/>
              <w:jc w:val="right"/>
              <w:rPr>
                <w:rFonts w:ascii="宋体" w:hAnsi="宋体" w:eastAsia="宋体" w:cs="宋体"/>
                <w:kern w:val="0"/>
                <w:sz w:val="20"/>
                <w:szCs w:val="20"/>
              </w:rPr>
            </w:pPr>
          </w:p>
        </w:tc>
      </w:tr>
      <w:tr>
        <w:trPr>
          <w:gridAfter w:val="1"/>
          <w:wAfter w:w="1053" w:type="dxa"/>
          <w:trHeight w:val="416" w:hRule="atLeast"/>
        </w:trPr>
        <w:tc>
          <w:tcPr>
            <w:tcW w:w="916" w:type="dxa"/>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2060399</w:t>
            </w:r>
          </w:p>
        </w:tc>
        <w:tc>
          <w:tcPr>
            <w:tcW w:w="616" w:type="dxa"/>
            <w:tcBorders>
              <w:top w:val="single" w:color="auto" w:sz="4" w:space="0"/>
              <w:left w:val="nil"/>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其他应用研究支出</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10.00</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10.00</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p>
        </w:tc>
        <w:tc>
          <w:tcPr>
            <w:tcW w:w="1053" w:type="dxa"/>
            <w:noWrap/>
          </w:tcPr>
          <w:p>
            <w:pPr>
              <w:widowControl/>
              <w:jc w:val="right"/>
              <w:rPr>
                <w:rFonts w:ascii="宋体" w:hAnsi="宋体" w:eastAsia="宋体" w:cs="宋体"/>
                <w:kern w:val="0"/>
                <w:sz w:val="20"/>
                <w:szCs w:val="20"/>
              </w:rPr>
            </w:pPr>
          </w:p>
        </w:tc>
      </w:tr>
      <w:tr>
        <w:trPr>
          <w:gridAfter w:val="1"/>
          <w:wAfter w:w="1053" w:type="dxa"/>
          <w:trHeight w:val="408" w:hRule="atLeast"/>
        </w:trPr>
        <w:tc>
          <w:tcPr>
            <w:tcW w:w="916" w:type="dxa"/>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20604</w:t>
            </w:r>
          </w:p>
        </w:tc>
        <w:tc>
          <w:tcPr>
            <w:tcW w:w="616" w:type="dxa"/>
            <w:tcBorders>
              <w:top w:val="single" w:color="auto" w:sz="4" w:space="0"/>
              <w:left w:val="nil"/>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技术研究与开发</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26.00</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26.00</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p>
        </w:tc>
        <w:tc>
          <w:tcPr>
            <w:tcW w:w="1053" w:type="dxa"/>
            <w:noWrap/>
          </w:tcPr>
          <w:p>
            <w:pPr>
              <w:widowControl/>
              <w:jc w:val="right"/>
              <w:rPr>
                <w:rFonts w:ascii="宋体" w:hAnsi="宋体" w:eastAsia="宋体" w:cs="宋体"/>
                <w:kern w:val="0"/>
                <w:sz w:val="20"/>
                <w:szCs w:val="20"/>
              </w:rPr>
            </w:pPr>
          </w:p>
        </w:tc>
      </w:tr>
      <w:tr>
        <w:trPr>
          <w:gridAfter w:val="1"/>
          <w:wAfter w:w="1053" w:type="dxa"/>
          <w:trHeight w:val="415" w:hRule="atLeast"/>
        </w:trPr>
        <w:tc>
          <w:tcPr>
            <w:tcW w:w="916" w:type="dxa"/>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2060402</w:t>
            </w:r>
          </w:p>
        </w:tc>
        <w:tc>
          <w:tcPr>
            <w:tcW w:w="616" w:type="dxa"/>
            <w:tcBorders>
              <w:top w:val="single" w:color="auto" w:sz="4" w:space="0"/>
              <w:left w:val="nil"/>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应用技术研究与开发</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21.00</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21.00</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p>
        </w:tc>
        <w:tc>
          <w:tcPr>
            <w:tcW w:w="1053" w:type="dxa"/>
            <w:noWrap/>
          </w:tcPr>
          <w:p>
            <w:pPr>
              <w:widowControl/>
              <w:jc w:val="right"/>
              <w:rPr>
                <w:rFonts w:ascii="宋体" w:hAnsi="宋体" w:eastAsia="宋体" w:cs="宋体"/>
                <w:kern w:val="0"/>
                <w:sz w:val="20"/>
                <w:szCs w:val="20"/>
              </w:rPr>
            </w:pPr>
          </w:p>
        </w:tc>
      </w:tr>
      <w:tr>
        <w:trPr>
          <w:gridAfter w:val="1"/>
          <w:wAfter w:w="1053" w:type="dxa"/>
          <w:trHeight w:val="421" w:hRule="atLeast"/>
        </w:trPr>
        <w:tc>
          <w:tcPr>
            <w:tcW w:w="916" w:type="dxa"/>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2060499</w:t>
            </w:r>
          </w:p>
        </w:tc>
        <w:tc>
          <w:tcPr>
            <w:tcW w:w="616" w:type="dxa"/>
            <w:tcBorders>
              <w:top w:val="single" w:color="auto" w:sz="4" w:space="0"/>
              <w:left w:val="nil"/>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其他技术研究与开发支出</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5.00</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5.00</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p>
        </w:tc>
        <w:tc>
          <w:tcPr>
            <w:tcW w:w="1053" w:type="dxa"/>
            <w:noWrap/>
          </w:tcPr>
          <w:p>
            <w:pPr>
              <w:widowControl/>
              <w:jc w:val="right"/>
              <w:rPr>
                <w:rFonts w:ascii="宋体" w:hAnsi="宋体" w:eastAsia="宋体" w:cs="宋体"/>
                <w:kern w:val="0"/>
                <w:sz w:val="20"/>
                <w:szCs w:val="20"/>
              </w:rPr>
            </w:pPr>
          </w:p>
        </w:tc>
      </w:tr>
      <w:tr>
        <w:trPr>
          <w:gridAfter w:val="1"/>
          <w:wAfter w:w="1053" w:type="dxa"/>
          <w:trHeight w:val="240" w:hRule="atLeast"/>
        </w:trPr>
        <w:tc>
          <w:tcPr>
            <w:tcW w:w="916" w:type="dxa"/>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208</w:t>
            </w:r>
          </w:p>
        </w:tc>
        <w:tc>
          <w:tcPr>
            <w:tcW w:w="616" w:type="dxa"/>
            <w:tcBorders>
              <w:top w:val="single" w:color="auto" w:sz="4" w:space="0"/>
              <w:left w:val="nil"/>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社会保障和就业支出</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33.99</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33.99</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noWrap/>
          </w:tcPr>
          <w:p>
            <w:pPr>
              <w:widowControl/>
              <w:jc w:val="right"/>
              <w:rPr>
                <w:rFonts w:ascii="宋体" w:hAnsi="宋体" w:eastAsia="宋体" w:cs="宋体"/>
                <w:kern w:val="0"/>
                <w:sz w:val="20"/>
                <w:szCs w:val="20"/>
              </w:rPr>
            </w:pPr>
          </w:p>
        </w:tc>
      </w:tr>
      <w:tr>
        <w:trPr>
          <w:gridAfter w:val="1"/>
          <w:wAfter w:w="1053" w:type="dxa"/>
          <w:trHeight w:val="480" w:hRule="atLeast"/>
        </w:trPr>
        <w:tc>
          <w:tcPr>
            <w:tcW w:w="1532"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20805</w:t>
            </w: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行政事业单位离退休</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2.56</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2.56</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p>
        </w:tc>
      </w:tr>
      <w:tr>
        <w:trPr>
          <w:gridAfter w:val="1"/>
          <w:wAfter w:w="1053" w:type="dxa"/>
          <w:trHeight w:val="480" w:hRule="atLeast"/>
        </w:trPr>
        <w:tc>
          <w:tcPr>
            <w:tcW w:w="1532"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2080502</w:t>
            </w: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事业单位离退休</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2.56</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2.56</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p>
        </w:tc>
      </w:tr>
      <w:tr>
        <w:trPr>
          <w:gridAfter w:val="1"/>
          <w:wAfter w:w="1053" w:type="dxa"/>
          <w:trHeight w:val="480" w:hRule="atLeast"/>
        </w:trPr>
        <w:tc>
          <w:tcPr>
            <w:tcW w:w="1532"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20808</w:t>
            </w: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抚恤</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31.43</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31.43</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rPr>
          <w:trHeight w:val="480" w:hRule="atLeast"/>
        </w:trPr>
        <w:tc>
          <w:tcPr>
            <w:tcW w:w="1532"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2080801</w:t>
            </w: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死亡抚恤</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31.43</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31.43</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rPr>
          <w:gridAfter w:val="1"/>
          <w:wAfter w:w="1053" w:type="dxa"/>
          <w:trHeight w:val="480" w:hRule="atLeast"/>
        </w:trPr>
        <w:tc>
          <w:tcPr>
            <w:tcW w:w="916" w:type="dxa"/>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210</w:t>
            </w:r>
          </w:p>
        </w:tc>
        <w:tc>
          <w:tcPr>
            <w:tcW w:w="616" w:type="dxa"/>
            <w:tcBorders>
              <w:top w:val="single" w:color="auto" w:sz="4" w:space="0"/>
              <w:left w:val="nil"/>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卫生健康支出</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125162.51</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19,471.78</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noWrap/>
          </w:tcPr>
          <w:p>
            <w:pPr>
              <w:widowControl/>
              <w:jc w:val="right"/>
              <w:rPr>
                <w:rFonts w:ascii="宋体" w:hAnsi="宋体" w:eastAsia="宋体" w:cs="宋体"/>
                <w:kern w:val="0"/>
                <w:sz w:val="20"/>
                <w:szCs w:val="20"/>
              </w:rPr>
            </w:pPr>
          </w:p>
        </w:tc>
      </w:tr>
      <w:tr>
        <w:trPr>
          <w:gridAfter w:val="1"/>
          <w:wAfter w:w="1053" w:type="dxa"/>
          <w:trHeight w:val="412" w:hRule="atLeast"/>
        </w:trPr>
        <w:tc>
          <w:tcPr>
            <w:tcW w:w="1532"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21002</w:t>
            </w: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公立医院</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124306.51</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124306.51</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rPr>
          <w:trHeight w:val="417" w:hRule="atLeast"/>
        </w:trPr>
        <w:tc>
          <w:tcPr>
            <w:tcW w:w="1532"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2100201</w:t>
            </w: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综合医院</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123795.28</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123795.28</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p>
        </w:tc>
        <w:tc>
          <w:tcPr>
            <w:tcW w:w="105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p>
        </w:tc>
      </w:tr>
      <w:tr>
        <w:trPr>
          <w:trHeight w:val="240" w:hRule="atLeast"/>
        </w:trPr>
        <w:tc>
          <w:tcPr>
            <w:tcW w:w="1532"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2100299</w:t>
            </w: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其他公立医院支出</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511.23</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511.23</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rPr>
          <w:gridAfter w:val="1"/>
          <w:wAfter w:w="1053" w:type="dxa"/>
          <w:trHeight w:val="447" w:hRule="atLeast"/>
        </w:trPr>
        <w:tc>
          <w:tcPr>
            <w:tcW w:w="1532"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21004</w:t>
            </w: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公共卫生</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856.00</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856.00</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rPr>
          <w:gridAfter w:val="1"/>
          <w:wAfter w:w="1053" w:type="dxa"/>
          <w:trHeight w:val="480" w:hRule="atLeast"/>
        </w:trPr>
        <w:tc>
          <w:tcPr>
            <w:tcW w:w="1532"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2100408</w:t>
            </w: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基本公共卫生服务</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11.00</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11.00</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rPr>
          <w:gridAfter w:val="1"/>
          <w:wAfter w:w="1053" w:type="dxa"/>
          <w:trHeight w:val="480" w:hRule="atLeast"/>
        </w:trPr>
        <w:tc>
          <w:tcPr>
            <w:tcW w:w="1532"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2400409</w:t>
            </w: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重大公共卫生专项</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453.00</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453.00</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rPr>
          <w:gridAfter w:val="1"/>
          <w:wAfter w:w="1053" w:type="dxa"/>
          <w:trHeight w:val="240" w:hRule="atLeast"/>
        </w:trPr>
        <w:tc>
          <w:tcPr>
            <w:tcW w:w="1532"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2100499</w:t>
            </w: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其他公共卫生支出</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392.00</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392.00</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rPr>
          <w:gridAfter w:val="1"/>
          <w:wAfter w:w="1053" w:type="dxa"/>
          <w:trHeight w:val="480" w:hRule="atLeast"/>
        </w:trPr>
        <w:tc>
          <w:tcPr>
            <w:tcW w:w="1532"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rPr>
          <w:gridAfter w:val="1"/>
          <w:wAfter w:w="1053" w:type="dxa"/>
          <w:trHeight w:val="240" w:hRule="atLeast"/>
        </w:trPr>
        <w:tc>
          <w:tcPr>
            <w:tcW w:w="1532"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p>
        </w:tc>
      </w:tr>
      <w:tr>
        <w:trPr>
          <w:gridAfter w:val="1"/>
          <w:wAfter w:w="1053" w:type="dxa"/>
          <w:trHeight w:val="720" w:hRule="atLeast"/>
        </w:trPr>
        <w:tc>
          <w:tcPr>
            <w:tcW w:w="1532"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p>
        </w:tc>
      </w:tr>
      <w:tr>
        <w:trPr>
          <w:gridAfter w:val="1"/>
          <w:wAfter w:w="1053" w:type="dxa"/>
          <w:trHeight w:val="480" w:hRule="atLeast"/>
        </w:trPr>
        <w:tc>
          <w:tcPr>
            <w:tcW w:w="1532"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p>
        </w:tc>
      </w:tr>
      <w:tr>
        <w:trPr>
          <w:gridAfter w:val="1"/>
          <w:wAfter w:w="1053" w:type="dxa"/>
          <w:trHeight w:val="480" w:hRule="atLeast"/>
        </w:trPr>
        <w:tc>
          <w:tcPr>
            <w:tcW w:w="1532"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p>
        </w:tc>
      </w:tr>
    </w:tbl>
    <w:p>
      <w:pPr>
        <w:jc w:val="left"/>
        <w:rPr>
          <w:rFonts w:ascii="仿宋" w:hAnsi="仿宋" w:eastAsia="仿宋" w:cs="仿宋"/>
          <w:sz w:val="28"/>
          <w:szCs w:val="28"/>
        </w:rPr>
      </w:pPr>
    </w:p>
    <w:p>
      <w:pPr>
        <w:jc w:val="left"/>
        <w:rPr>
          <w:rFonts w:ascii="仿宋" w:hAnsi="仿宋" w:eastAsia="仿宋" w:cs="仿宋"/>
          <w:sz w:val="28"/>
          <w:szCs w:val="28"/>
        </w:rPr>
      </w:pPr>
    </w:p>
    <w:p>
      <w:pPr>
        <w:jc w:val="left"/>
        <w:rPr>
          <w:rFonts w:cs="仿宋" w:asciiTheme="minorEastAsia" w:hAnsiTheme="minorEastAsia"/>
          <w:b/>
          <w:sz w:val="28"/>
          <w:szCs w:val="28"/>
        </w:rPr>
      </w:pPr>
      <w:r>
        <w:rPr>
          <w:rFonts w:cs="仿宋" w:asciiTheme="minorEastAsia" w:hAnsiTheme="minorEastAsia"/>
          <w:sz w:val="24"/>
          <w:szCs w:val="24"/>
        </w:rPr>
        <w:t>表4：</w:t>
      </w:r>
      <w:r>
        <w:rPr>
          <w:rFonts w:hint="eastAsia" w:cs="仿宋" w:asciiTheme="minorEastAsia" w:hAnsiTheme="minorEastAsia"/>
          <w:sz w:val="24"/>
          <w:szCs w:val="24"/>
        </w:rPr>
        <w:t xml:space="preserve">                  </w:t>
      </w:r>
      <w:r>
        <w:rPr>
          <w:rFonts w:cs="仿宋" w:asciiTheme="minorEastAsia" w:hAnsiTheme="minorEastAsia"/>
          <w:b/>
          <w:sz w:val="28"/>
          <w:szCs w:val="28"/>
        </w:rPr>
        <w:t>财政拨款收入支出决算总表</w:t>
      </w:r>
    </w:p>
    <w:tbl>
      <w:tblPr>
        <w:tblStyle w:val="5"/>
        <w:tblW w:w="11990" w:type="dxa"/>
        <w:tblInd w:w="108" w:type="dxa"/>
        <w:tblLayout w:type="autofit"/>
        <w:tblCellMar>
          <w:top w:w="0" w:type="dxa"/>
          <w:left w:w="108" w:type="dxa"/>
          <w:bottom w:w="0" w:type="dxa"/>
          <w:right w:w="108" w:type="dxa"/>
        </w:tblCellMar>
      </w:tblPr>
      <w:tblGrid>
        <w:gridCol w:w="1856"/>
        <w:gridCol w:w="129"/>
        <w:gridCol w:w="427"/>
        <w:gridCol w:w="1196"/>
        <w:gridCol w:w="1676"/>
        <w:gridCol w:w="556"/>
        <w:gridCol w:w="1356"/>
        <w:gridCol w:w="1377"/>
        <w:gridCol w:w="1139"/>
        <w:gridCol w:w="1139"/>
        <w:gridCol w:w="1139"/>
      </w:tblGrid>
      <w:tr>
        <w:trPr>
          <w:gridAfter w:val="2"/>
          <w:wAfter w:w="2278" w:type="dxa"/>
          <w:trHeight w:val="285" w:hRule="atLeast"/>
        </w:trPr>
        <w:tc>
          <w:tcPr>
            <w:tcW w:w="185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56"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19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5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5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516"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财决公开04表</w:t>
            </w:r>
          </w:p>
        </w:tc>
      </w:tr>
      <w:tr>
        <w:tblPrEx>
          <w:tblCellMar>
            <w:top w:w="0" w:type="dxa"/>
            <w:left w:w="108" w:type="dxa"/>
            <w:bottom w:w="0" w:type="dxa"/>
            <w:right w:w="108" w:type="dxa"/>
          </w:tblCellMar>
        </w:tblPrEx>
        <w:trPr>
          <w:gridAfter w:val="2"/>
          <w:wAfter w:w="2278" w:type="dxa"/>
          <w:trHeight w:val="285" w:hRule="atLeast"/>
        </w:trPr>
        <w:tc>
          <w:tcPr>
            <w:tcW w:w="3608"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部门：益阳市中心医院</w:t>
            </w:r>
          </w:p>
        </w:tc>
        <w:tc>
          <w:tcPr>
            <w:tcW w:w="167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5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gridSpan w:val="2"/>
            <w:tcBorders>
              <w:top w:val="nil"/>
              <w:left w:val="nil"/>
              <w:bottom w:val="single" w:color="auto" w:sz="4" w:space="0"/>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gridAfter w:val="2"/>
          <w:wAfter w:w="2278" w:type="dxa"/>
          <w:trHeight w:val="240" w:hRule="atLeast"/>
        </w:trPr>
        <w:tc>
          <w:tcPr>
            <w:tcW w:w="3608"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收入</w:t>
            </w:r>
          </w:p>
        </w:tc>
        <w:tc>
          <w:tcPr>
            <w:tcW w:w="6104" w:type="dxa"/>
            <w:gridSpan w:val="5"/>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支出</w:t>
            </w:r>
          </w:p>
        </w:tc>
      </w:tr>
      <w:tr>
        <w:tblPrEx>
          <w:tblCellMar>
            <w:top w:w="0" w:type="dxa"/>
            <w:left w:w="108" w:type="dxa"/>
            <w:bottom w:w="0" w:type="dxa"/>
            <w:right w:w="108" w:type="dxa"/>
          </w:tblCellMar>
        </w:tblPrEx>
        <w:trPr>
          <w:gridAfter w:val="2"/>
          <w:wAfter w:w="2278" w:type="dxa"/>
          <w:trHeight w:val="480" w:hRule="atLeast"/>
        </w:trPr>
        <w:tc>
          <w:tcPr>
            <w:tcW w:w="1985"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    目</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19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金额</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    目</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合计</w:t>
            </w:r>
          </w:p>
        </w:tc>
        <w:tc>
          <w:tcPr>
            <w:tcW w:w="13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一般公共预算财政拨款</w:t>
            </w:r>
          </w:p>
        </w:tc>
        <w:tc>
          <w:tcPr>
            <w:tcW w:w="11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政府性基金预算财政拨款</w:t>
            </w:r>
          </w:p>
        </w:tc>
      </w:tr>
      <w:tr>
        <w:tblPrEx>
          <w:tblCellMar>
            <w:top w:w="0" w:type="dxa"/>
            <w:left w:w="108" w:type="dxa"/>
            <w:bottom w:w="0" w:type="dxa"/>
            <w:right w:w="108" w:type="dxa"/>
          </w:tblCellMar>
        </w:tblPrEx>
        <w:trPr>
          <w:gridAfter w:val="2"/>
          <w:wAfter w:w="2278" w:type="dxa"/>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栏    次</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19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栏    次</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113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r>
      <w:tr>
        <w:trPr>
          <w:gridAfter w:val="2"/>
          <w:wAfter w:w="2278" w:type="dxa"/>
          <w:trHeight w:val="480" w:hRule="atLeast"/>
        </w:trPr>
        <w:tc>
          <w:tcPr>
            <w:tcW w:w="1985"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一、一般公共预算财政拨款</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2315.91</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栏    次</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31</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rPr>
          <w:gridAfter w:val="2"/>
          <w:wAfter w:w="2278" w:type="dxa"/>
          <w:trHeight w:val="48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二、政府性基金预算财政拨款</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0.00</w:t>
            </w:r>
          </w:p>
        </w:tc>
        <w:tc>
          <w:tcPr>
            <w:tcW w:w="16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一、一般公共服务支出</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32</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       2315.91 </w:t>
            </w: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      2315.91</w:t>
            </w: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   </w:t>
            </w:r>
          </w:p>
        </w:tc>
      </w:tr>
      <w:tr>
        <w:trPr>
          <w:gridAfter w:val="2"/>
          <w:wAfter w:w="2278" w:type="dxa"/>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五、教育支出</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33</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32.71</w:t>
            </w: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32.71</w:t>
            </w: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   </w:t>
            </w:r>
          </w:p>
        </w:tc>
      </w:tr>
      <w:tr>
        <w:trPr>
          <w:gridAfter w:val="2"/>
          <w:wAfter w:w="2278" w:type="dxa"/>
          <w:trHeight w:val="48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六、科学技术支出</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34</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66.00</w:t>
            </w: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66.00</w:t>
            </w: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rPr>
          <w:gridAfter w:val="2"/>
          <w:wAfter w:w="2278" w:type="dxa"/>
          <w:trHeight w:val="48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八、社会保障和就业支出</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35</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       33.99 </w:t>
            </w: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     33.99 </w:t>
            </w: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   </w:t>
            </w:r>
          </w:p>
        </w:tc>
      </w:tr>
      <w:tr>
        <w:trPr>
          <w:gridAfter w:val="2"/>
          <w:wAfter w:w="2278" w:type="dxa"/>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九、卫生健康支出</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36</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   2183.21  </w:t>
            </w: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 2083.21  </w:t>
            </w: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   </w:t>
            </w:r>
          </w:p>
        </w:tc>
      </w:tr>
      <w:tr>
        <w:trPr>
          <w:gridAfter w:val="2"/>
          <w:wAfter w:w="2278" w:type="dxa"/>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37</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rPr>
          <w:gridAfter w:val="2"/>
          <w:wAfter w:w="2278" w:type="dxa"/>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38</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rPr>
          <w:gridAfter w:val="2"/>
          <w:wAfter w:w="2278" w:type="dxa"/>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39</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rPr>
          <w:gridAfter w:val="2"/>
          <w:wAfter w:w="2278" w:type="dxa"/>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40</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rPr>
          <w:gridAfter w:val="2"/>
          <w:wAfter w:w="2278" w:type="dxa"/>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41</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rPr>
          <w:gridAfter w:val="2"/>
          <w:wAfter w:w="2278" w:type="dxa"/>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42</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rPr>
          <w:gridAfter w:val="2"/>
          <w:wAfter w:w="2278" w:type="dxa"/>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43</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rPr>
          <w:gridAfter w:val="2"/>
          <w:wAfter w:w="2278" w:type="dxa"/>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44</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rPr>
          <w:gridAfter w:val="2"/>
          <w:wAfter w:w="2278" w:type="dxa"/>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45</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rPr>
          <w:gridAfter w:val="2"/>
          <w:wAfter w:w="2278" w:type="dxa"/>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46</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rPr>
          <w:gridAfter w:val="2"/>
          <w:wAfter w:w="2278" w:type="dxa"/>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47</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rPr>
          <w:gridAfter w:val="2"/>
          <w:wAfter w:w="2278" w:type="dxa"/>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48</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rPr>
          <w:gridAfter w:val="2"/>
          <w:wAfter w:w="2278" w:type="dxa"/>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49</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rPr>
          <w:gridAfter w:val="2"/>
          <w:wAfter w:w="2278" w:type="dxa"/>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50</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rPr>
          <w:gridAfter w:val="2"/>
          <w:wAfter w:w="2278" w:type="dxa"/>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21</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51</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rPr>
          <w:gridAfter w:val="2"/>
          <w:wAfter w:w="2278" w:type="dxa"/>
          <w:trHeight w:val="240" w:hRule="atLeast"/>
        </w:trPr>
        <w:tc>
          <w:tcPr>
            <w:tcW w:w="1985"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52</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rPr>
          <w:gridAfter w:val="2"/>
          <w:wAfter w:w="2278" w:type="dxa"/>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23</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53</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rPr>
          <w:gridAfter w:val="2"/>
          <w:wAfter w:w="2278" w:type="dxa"/>
          <w:trHeight w:val="240" w:hRule="atLeast"/>
        </w:trPr>
        <w:tc>
          <w:tcPr>
            <w:tcW w:w="1985"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本年收入合计</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0"/>
                <w:szCs w:val="20"/>
              </w:rPr>
            </w:pPr>
            <w:r>
              <w:rPr>
                <w:rFonts w:hint="eastAsia" w:ascii="宋体" w:hAnsi="宋体" w:eastAsia="宋体" w:cs="宋体"/>
                <w:b/>
                <w:bCs/>
                <w:kern w:val="0"/>
                <w:sz w:val="20"/>
                <w:szCs w:val="20"/>
              </w:rPr>
              <w:t>2315.91</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54</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rPr>
          <w:gridAfter w:val="2"/>
          <w:wAfter w:w="2278" w:type="dxa"/>
          <w:trHeight w:val="240" w:hRule="atLeast"/>
        </w:trPr>
        <w:tc>
          <w:tcPr>
            <w:tcW w:w="1985"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年初财政拨款结转和结余</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26</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0"/>
                <w:szCs w:val="20"/>
              </w:rPr>
            </w:pPr>
            <w:r>
              <w:rPr>
                <w:rFonts w:hint="eastAsia" w:ascii="宋体" w:hAnsi="宋体" w:eastAsia="宋体" w:cs="宋体"/>
                <w:b/>
                <w:bCs/>
                <w:kern w:val="0"/>
                <w:sz w:val="20"/>
                <w:szCs w:val="20"/>
              </w:rPr>
              <w:t>0.00</w:t>
            </w:r>
          </w:p>
        </w:tc>
        <w:tc>
          <w:tcPr>
            <w:tcW w:w="16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本年支出合计</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55</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xml:space="preserve">   2315.91 </w:t>
            </w: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xml:space="preserve">  2315.91</w:t>
            </w:r>
          </w:p>
        </w:tc>
        <w:tc>
          <w:tcPr>
            <w:tcW w:w="11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xml:space="preserve">     -   </w:t>
            </w:r>
          </w:p>
        </w:tc>
      </w:tr>
      <w:tr>
        <w:trPr>
          <w:gridAfter w:val="2"/>
          <w:wAfter w:w="2278" w:type="dxa"/>
          <w:trHeight w:val="480" w:hRule="atLeast"/>
        </w:trPr>
        <w:tc>
          <w:tcPr>
            <w:tcW w:w="1985"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一般公共预算财政拨款</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27</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0"/>
                <w:szCs w:val="20"/>
              </w:rPr>
            </w:pPr>
            <w:r>
              <w:rPr>
                <w:rFonts w:hint="eastAsia" w:ascii="宋体" w:hAnsi="宋体" w:eastAsia="宋体" w:cs="宋体"/>
                <w:b/>
                <w:bCs/>
                <w:kern w:val="0"/>
                <w:sz w:val="20"/>
                <w:szCs w:val="20"/>
              </w:rPr>
              <w:t>0.00</w:t>
            </w:r>
          </w:p>
        </w:tc>
        <w:tc>
          <w:tcPr>
            <w:tcW w:w="16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年末结转和结余</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56</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xml:space="preserve">   0</w:t>
            </w: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xml:space="preserve"> 0</w:t>
            </w:r>
          </w:p>
        </w:tc>
        <w:tc>
          <w:tcPr>
            <w:tcW w:w="11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xml:space="preserve">     -   </w:t>
            </w:r>
          </w:p>
        </w:tc>
      </w:tr>
      <w:tr>
        <w:trPr>
          <w:gridAfter w:val="2"/>
          <w:wAfter w:w="2278" w:type="dxa"/>
          <w:trHeight w:val="480" w:hRule="atLeast"/>
        </w:trPr>
        <w:tc>
          <w:tcPr>
            <w:tcW w:w="1985"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政府性基金预算财政拨款</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28</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0"/>
                <w:szCs w:val="20"/>
              </w:rPr>
            </w:pPr>
            <w:r>
              <w:rPr>
                <w:rFonts w:hint="eastAsia" w:ascii="宋体" w:hAnsi="宋体" w:eastAsia="宋体" w:cs="宋体"/>
                <w:b/>
                <w:bCs/>
                <w:kern w:val="0"/>
                <w:sz w:val="20"/>
                <w:szCs w:val="20"/>
              </w:rPr>
              <w:t>0.00</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合计</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60</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xml:space="preserve"> 2315.91 </w:t>
            </w: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xml:space="preserve"> 2315.91 </w:t>
            </w:r>
          </w:p>
        </w:tc>
        <w:tc>
          <w:tcPr>
            <w:tcW w:w="11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xml:space="preserve">     -   </w:t>
            </w:r>
          </w:p>
        </w:tc>
      </w:tr>
      <w:tr>
        <w:trPr>
          <w:gridAfter w:val="2"/>
          <w:wAfter w:w="2278" w:type="dxa"/>
          <w:trHeight w:val="48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合计</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30</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0"/>
                <w:szCs w:val="20"/>
              </w:rPr>
            </w:pPr>
            <w:r>
              <w:rPr>
                <w:rFonts w:hint="eastAsia" w:ascii="宋体" w:hAnsi="宋体" w:eastAsia="宋体" w:cs="宋体"/>
                <w:b/>
                <w:bCs/>
                <w:kern w:val="0"/>
                <w:sz w:val="20"/>
                <w:szCs w:val="20"/>
              </w:rPr>
              <w:t>2315.91</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合计</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60</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xml:space="preserve"> 2315.91 </w:t>
            </w: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xml:space="preserve"> 2315.91 </w:t>
            </w:r>
          </w:p>
        </w:tc>
        <w:tc>
          <w:tcPr>
            <w:tcW w:w="11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xml:space="preserve">     -   </w:t>
            </w:r>
          </w:p>
        </w:tc>
      </w:tr>
      <w:tr>
        <w:trPr>
          <w:trHeight w:val="240" w:hRule="atLeast"/>
        </w:trPr>
        <w:tc>
          <w:tcPr>
            <w:tcW w:w="7196" w:type="dxa"/>
            <w:gridSpan w:val="7"/>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注：1.本表依据《财政拨款收入支出决算总表》（财决01-1表）进行批复。</w:t>
            </w:r>
          </w:p>
        </w:tc>
        <w:tc>
          <w:tcPr>
            <w:tcW w:w="1377"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0"/>
                <w:szCs w:val="20"/>
              </w:rPr>
            </w:pPr>
          </w:p>
        </w:tc>
        <w:tc>
          <w:tcPr>
            <w:tcW w:w="1139"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0"/>
                <w:szCs w:val="20"/>
              </w:rPr>
            </w:pPr>
          </w:p>
        </w:tc>
        <w:tc>
          <w:tcPr>
            <w:tcW w:w="1139" w:type="dxa"/>
            <w:tcBorders>
              <w:top w:val="nil"/>
              <w:left w:val="nil"/>
              <w:bottom w:val="nil"/>
              <w:right w:val="nil"/>
            </w:tcBorders>
            <w:shd w:val="clear" w:color="auto" w:fill="auto"/>
            <w:vAlign w:val="center"/>
          </w:tcPr>
          <w:p>
            <w:pPr>
              <w:widowControl/>
              <w:jc w:val="right"/>
              <w:rPr>
                <w:rFonts w:ascii="宋体" w:hAnsi="宋体" w:eastAsia="宋体" w:cs="宋体"/>
                <w:kern w:val="0"/>
                <w:sz w:val="20"/>
                <w:szCs w:val="20"/>
              </w:rPr>
            </w:pPr>
          </w:p>
        </w:tc>
        <w:tc>
          <w:tcPr>
            <w:tcW w:w="1139" w:type="dxa"/>
            <w:tcBorders>
              <w:top w:val="nil"/>
              <w:left w:val="nil"/>
              <w:bottom w:val="nil"/>
              <w:right w:val="nil"/>
            </w:tcBorders>
            <w:shd w:val="clear" w:color="auto" w:fill="auto"/>
            <w:vAlign w:val="center"/>
          </w:tcPr>
          <w:p>
            <w:pPr>
              <w:widowControl/>
              <w:jc w:val="right"/>
              <w:rPr>
                <w:rFonts w:ascii="宋体" w:hAnsi="宋体" w:eastAsia="宋体" w:cs="宋体"/>
                <w:kern w:val="0"/>
                <w:sz w:val="20"/>
                <w:szCs w:val="20"/>
              </w:rPr>
            </w:pPr>
          </w:p>
        </w:tc>
      </w:tr>
      <w:tr>
        <w:trPr>
          <w:gridAfter w:val="2"/>
          <w:wAfter w:w="2278" w:type="dxa"/>
          <w:trHeight w:val="240" w:hRule="atLeast"/>
        </w:trPr>
        <w:tc>
          <w:tcPr>
            <w:tcW w:w="5284" w:type="dxa"/>
            <w:gridSpan w:val="5"/>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2.本表以“万元”为金额单位（保留两位小数）。</w:t>
            </w:r>
          </w:p>
        </w:tc>
        <w:tc>
          <w:tcPr>
            <w:tcW w:w="556" w:type="dxa"/>
            <w:noWrap/>
            <w:vAlign w:val="center"/>
          </w:tcPr>
          <w:p>
            <w:pPr>
              <w:widowControl/>
              <w:jc w:val="right"/>
              <w:rPr>
                <w:rFonts w:ascii="宋体" w:hAnsi="宋体" w:eastAsia="宋体" w:cs="宋体"/>
                <w:kern w:val="0"/>
                <w:sz w:val="20"/>
                <w:szCs w:val="20"/>
              </w:rPr>
            </w:pPr>
          </w:p>
        </w:tc>
        <w:tc>
          <w:tcPr>
            <w:tcW w:w="135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0"/>
                <w:szCs w:val="20"/>
              </w:rPr>
            </w:pPr>
          </w:p>
        </w:tc>
        <w:tc>
          <w:tcPr>
            <w:tcW w:w="1377"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0"/>
                <w:szCs w:val="20"/>
              </w:rPr>
            </w:pPr>
          </w:p>
        </w:tc>
        <w:tc>
          <w:tcPr>
            <w:tcW w:w="1139"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0"/>
                <w:szCs w:val="20"/>
              </w:rPr>
            </w:pPr>
          </w:p>
        </w:tc>
      </w:tr>
      <w:tr>
        <w:trPr>
          <w:gridAfter w:val="2"/>
          <w:wAfter w:w="2278" w:type="dxa"/>
          <w:trHeight w:val="240" w:hRule="atLeast"/>
        </w:trPr>
        <w:tc>
          <w:tcPr>
            <w:tcW w:w="9712" w:type="dxa"/>
            <w:gridSpan w:val="9"/>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3、本表反映部门本年度一般公共预算财政拨款和政府性基金预算财政拨款的总收支和年末结转结余情况。</w:t>
            </w:r>
          </w:p>
        </w:tc>
      </w:tr>
    </w:tbl>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b/>
          <w:sz w:val="28"/>
          <w:szCs w:val="28"/>
        </w:rPr>
      </w:pPr>
      <w:r>
        <w:rPr>
          <w:rFonts w:cs="仿宋" w:asciiTheme="minorEastAsia" w:hAnsiTheme="minorEastAsia"/>
          <w:sz w:val="24"/>
          <w:szCs w:val="24"/>
        </w:rPr>
        <w:t>表5：</w:t>
      </w:r>
      <w:r>
        <w:rPr>
          <w:rFonts w:hint="eastAsia" w:cs="仿宋" w:asciiTheme="minorEastAsia" w:hAnsiTheme="minorEastAsia"/>
          <w:sz w:val="24"/>
          <w:szCs w:val="24"/>
        </w:rPr>
        <w:t xml:space="preserve">                </w:t>
      </w:r>
      <w:r>
        <w:rPr>
          <w:rFonts w:cs="仿宋" w:asciiTheme="minorEastAsia" w:hAnsiTheme="minorEastAsia"/>
          <w:b/>
          <w:sz w:val="28"/>
          <w:szCs w:val="28"/>
        </w:rPr>
        <w:t>一般公共预算财政拨款支出决算表</w:t>
      </w:r>
    </w:p>
    <w:tbl>
      <w:tblPr>
        <w:tblStyle w:val="5"/>
        <w:tblW w:w="12317" w:type="dxa"/>
        <w:tblInd w:w="108" w:type="dxa"/>
        <w:tblLayout w:type="autofit"/>
        <w:tblCellMar>
          <w:top w:w="0" w:type="dxa"/>
          <w:left w:w="108" w:type="dxa"/>
          <w:bottom w:w="0" w:type="dxa"/>
          <w:right w:w="108" w:type="dxa"/>
        </w:tblCellMar>
      </w:tblPr>
      <w:tblGrid>
        <w:gridCol w:w="917"/>
        <w:gridCol w:w="916"/>
        <w:gridCol w:w="2699"/>
        <w:gridCol w:w="1952"/>
        <w:gridCol w:w="1467"/>
        <w:gridCol w:w="2296"/>
        <w:gridCol w:w="2070"/>
      </w:tblGrid>
      <w:tr>
        <w:tblPrEx>
          <w:tblCellMar>
            <w:top w:w="0" w:type="dxa"/>
            <w:left w:w="108" w:type="dxa"/>
            <w:bottom w:w="0" w:type="dxa"/>
            <w:right w:w="108" w:type="dxa"/>
          </w:tblCellMar>
        </w:tblPrEx>
        <w:trPr>
          <w:gridAfter w:val="1"/>
          <w:wAfter w:w="2070" w:type="dxa"/>
          <w:trHeight w:val="285" w:hRule="atLeast"/>
        </w:trPr>
        <w:tc>
          <w:tcPr>
            <w:tcW w:w="4532"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部门：益阳市中心医院</w:t>
            </w:r>
          </w:p>
        </w:tc>
        <w:tc>
          <w:tcPr>
            <w:tcW w:w="1952"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67"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29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财决公开05表</w:t>
            </w:r>
          </w:p>
        </w:tc>
      </w:tr>
      <w:tr>
        <w:tblPrEx>
          <w:tblCellMar>
            <w:top w:w="0" w:type="dxa"/>
            <w:left w:w="108" w:type="dxa"/>
            <w:bottom w:w="0" w:type="dxa"/>
            <w:right w:w="108" w:type="dxa"/>
          </w:tblCellMar>
        </w:tblPrEx>
        <w:trPr>
          <w:gridAfter w:val="1"/>
          <w:wAfter w:w="2070" w:type="dxa"/>
          <w:trHeight w:val="300" w:hRule="atLeast"/>
        </w:trPr>
        <w:tc>
          <w:tcPr>
            <w:tcW w:w="917" w:type="dxa"/>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916"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699"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952"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67"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29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单位：万元</w:t>
            </w:r>
          </w:p>
        </w:tc>
      </w:tr>
      <w:tr>
        <w:tblPrEx>
          <w:tblCellMar>
            <w:top w:w="0" w:type="dxa"/>
            <w:left w:w="108" w:type="dxa"/>
            <w:bottom w:w="0" w:type="dxa"/>
            <w:right w:w="108" w:type="dxa"/>
          </w:tblCellMar>
        </w:tblPrEx>
        <w:trPr>
          <w:gridAfter w:val="1"/>
          <w:wAfter w:w="2070" w:type="dxa"/>
          <w:trHeight w:val="300" w:hRule="atLeast"/>
        </w:trPr>
        <w:tc>
          <w:tcPr>
            <w:tcW w:w="7951" w:type="dxa"/>
            <w:gridSpan w:val="5"/>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注：1.本表依据《一般公共预算财政拨款收入支出决算表》（财决07表）进行批复。</w:t>
            </w:r>
          </w:p>
        </w:tc>
        <w:tc>
          <w:tcPr>
            <w:tcW w:w="2296"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2.本表批复到项级科目。</w:t>
            </w:r>
          </w:p>
        </w:tc>
      </w:tr>
      <w:tr>
        <w:tblPrEx>
          <w:tblCellMar>
            <w:top w:w="0" w:type="dxa"/>
            <w:left w:w="108" w:type="dxa"/>
            <w:bottom w:w="0" w:type="dxa"/>
            <w:right w:w="108" w:type="dxa"/>
          </w:tblCellMar>
        </w:tblPrEx>
        <w:trPr>
          <w:gridAfter w:val="1"/>
          <w:wAfter w:w="2070" w:type="dxa"/>
          <w:trHeight w:val="300" w:hRule="atLeast"/>
        </w:trPr>
        <w:tc>
          <w:tcPr>
            <w:tcW w:w="6484"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3.本表以“万元”为金额单位（保留两位小数）。</w:t>
            </w:r>
          </w:p>
        </w:tc>
        <w:tc>
          <w:tcPr>
            <w:tcW w:w="1467"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29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gridAfter w:val="1"/>
          <w:wAfter w:w="2070" w:type="dxa"/>
          <w:trHeight w:val="300" w:hRule="atLeast"/>
        </w:trPr>
        <w:tc>
          <w:tcPr>
            <w:tcW w:w="7951" w:type="dxa"/>
            <w:gridSpan w:val="5"/>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4、本表反映部门本年度一般公共预算财政拨款实际支出情况。</w:t>
            </w:r>
          </w:p>
        </w:tc>
        <w:tc>
          <w:tcPr>
            <w:tcW w:w="229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rPr>
          <w:gridAfter w:val="1"/>
          <w:wAfter w:w="2070" w:type="dxa"/>
          <w:trHeight w:val="240" w:hRule="atLeast"/>
        </w:trPr>
        <w:tc>
          <w:tcPr>
            <w:tcW w:w="4532"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    目</w:t>
            </w:r>
          </w:p>
        </w:tc>
        <w:tc>
          <w:tcPr>
            <w:tcW w:w="19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本年支出合计</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基本支出  </w:t>
            </w:r>
          </w:p>
        </w:tc>
        <w:tc>
          <w:tcPr>
            <w:tcW w:w="22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项目支出</w:t>
            </w:r>
          </w:p>
        </w:tc>
      </w:tr>
      <w:tr>
        <w:trPr>
          <w:gridAfter w:val="1"/>
          <w:wAfter w:w="2070" w:type="dxa"/>
          <w:trHeight w:val="259" w:hRule="atLeast"/>
        </w:trPr>
        <w:tc>
          <w:tcPr>
            <w:tcW w:w="183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功能分类          科目编码</w:t>
            </w:r>
          </w:p>
        </w:tc>
        <w:tc>
          <w:tcPr>
            <w:tcW w:w="26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科目名称</w:t>
            </w:r>
          </w:p>
        </w:tc>
        <w:tc>
          <w:tcPr>
            <w:tcW w:w="19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2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r>
      <w:tr>
        <w:trPr>
          <w:gridAfter w:val="1"/>
          <w:wAfter w:w="2070" w:type="dxa"/>
          <w:trHeight w:val="259" w:hRule="atLeast"/>
        </w:trPr>
        <w:tc>
          <w:tcPr>
            <w:tcW w:w="183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6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9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2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r>
      <w:tr>
        <w:trPr>
          <w:gridAfter w:val="1"/>
          <w:wAfter w:w="2070" w:type="dxa"/>
          <w:trHeight w:val="259" w:hRule="atLeast"/>
        </w:trPr>
        <w:tc>
          <w:tcPr>
            <w:tcW w:w="183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6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9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2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r>
      <w:tr>
        <w:trPr>
          <w:gridAfter w:val="1"/>
          <w:wAfter w:w="2070" w:type="dxa"/>
          <w:trHeight w:val="360" w:hRule="atLeast"/>
        </w:trPr>
        <w:tc>
          <w:tcPr>
            <w:tcW w:w="45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栏次</w:t>
            </w:r>
          </w:p>
        </w:tc>
        <w:tc>
          <w:tcPr>
            <w:tcW w:w="19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4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2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r>
      <w:tr>
        <w:trPr>
          <w:gridAfter w:val="1"/>
          <w:wAfter w:w="2070" w:type="dxa"/>
          <w:trHeight w:val="360" w:hRule="atLeast"/>
        </w:trPr>
        <w:tc>
          <w:tcPr>
            <w:tcW w:w="45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合计</w:t>
            </w:r>
          </w:p>
        </w:tc>
        <w:tc>
          <w:tcPr>
            <w:tcW w:w="195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kern w:val="0"/>
                <w:sz w:val="20"/>
                <w:szCs w:val="20"/>
              </w:rPr>
            </w:pPr>
            <w:r>
              <w:rPr>
                <w:rFonts w:hint="eastAsia" w:ascii="宋体" w:hAnsi="宋体" w:eastAsia="宋体" w:cs="宋体"/>
                <w:b/>
                <w:kern w:val="0"/>
                <w:sz w:val="20"/>
                <w:szCs w:val="20"/>
              </w:rPr>
              <w:t>2315.91</w:t>
            </w:r>
          </w:p>
        </w:tc>
        <w:tc>
          <w:tcPr>
            <w:tcW w:w="14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kern w:val="0"/>
                <w:sz w:val="20"/>
                <w:szCs w:val="20"/>
              </w:rPr>
            </w:pPr>
            <w:r>
              <w:rPr>
                <w:rFonts w:hint="eastAsia" w:ascii="宋体" w:hAnsi="宋体" w:eastAsia="宋体" w:cs="宋体"/>
                <w:b/>
                <w:kern w:val="0"/>
                <w:sz w:val="20"/>
                <w:szCs w:val="20"/>
              </w:rPr>
              <w:t>2315.91</w:t>
            </w:r>
          </w:p>
        </w:tc>
        <w:tc>
          <w:tcPr>
            <w:tcW w:w="229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kern w:val="0"/>
                <w:sz w:val="20"/>
                <w:szCs w:val="20"/>
              </w:rPr>
            </w:pPr>
          </w:p>
        </w:tc>
      </w:tr>
      <w:tr>
        <w:trPr>
          <w:gridAfter w:val="1"/>
          <w:wAfter w:w="2070" w:type="dxa"/>
          <w:trHeight w:val="360" w:hRule="atLeast"/>
        </w:trPr>
        <w:tc>
          <w:tcPr>
            <w:tcW w:w="917"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205</w:t>
            </w:r>
          </w:p>
        </w:tc>
        <w:tc>
          <w:tcPr>
            <w:tcW w:w="91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教育支出</w:t>
            </w:r>
          </w:p>
        </w:tc>
        <w:tc>
          <w:tcPr>
            <w:tcW w:w="19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32.71</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32.71</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rPr>
          <w:gridAfter w:val="1"/>
          <w:wAfter w:w="2070" w:type="dxa"/>
          <w:trHeight w:val="360" w:hRule="atLeast"/>
        </w:trPr>
        <w:tc>
          <w:tcPr>
            <w:tcW w:w="917"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20599</w:t>
            </w:r>
          </w:p>
        </w:tc>
        <w:tc>
          <w:tcPr>
            <w:tcW w:w="91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其他教育支出</w:t>
            </w:r>
          </w:p>
        </w:tc>
        <w:tc>
          <w:tcPr>
            <w:tcW w:w="19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32.71 </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32.71</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rPr>
          <w:gridAfter w:val="1"/>
          <w:wAfter w:w="2070" w:type="dxa"/>
          <w:trHeight w:val="360" w:hRule="atLeast"/>
        </w:trPr>
        <w:tc>
          <w:tcPr>
            <w:tcW w:w="1833"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2059999</w:t>
            </w: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其他教育支出</w:t>
            </w:r>
          </w:p>
        </w:tc>
        <w:tc>
          <w:tcPr>
            <w:tcW w:w="19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32.71</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32.71</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rPr>
          <w:gridAfter w:val="1"/>
          <w:wAfter w:w="2070" w:type="dxa"/>
          <w:trHeight w:val="360" w:hRule="atLeast"/>
        </w:trPr>
        <w:tc>
          <w:tcPr>
            <w:tcW w:w="917"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206</w:t>
            </w:r>
          </w:p>
        </w:tc>
        <w:tc>
          <w:tcPr>
            <w:tcW w:w="91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科学技术支出</w:t>
            </w:r>
          </w:p>
        </w:tc>
        <w:tc>
          <w:tcPr>
            <w:tcW w:w="19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66.00</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66.00</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rPr>
          <w:gridAfter w:val="1"/>
          <w:wAfter w:w="2070" w:type="dxa"/>
          <w:trHeight w:val="360" w:hRule="atLeast"/>
        </w:trPr>
        <w:tc>
          <w:tcPr>
            <w:tcW w:w="917"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20602</w:t>
            </w:r>
          </w:p>
        </w:tc>
        <w:tc>
          <w:tcPr>
            <w:tcW w:w="91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基础研究</w:t>
            </w:r>
          </w:p>
        </w:tc>
        <w:tc>
          <w:tcPr>
            <w:tcW w:w="19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30.00</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30.00</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rPr>
          <w:gridAfter w:val="1"/>
          <w:wAfter w:w="2070" w:type="dxa"/>
          <w:trHeight w:val="360" w:hRule="atLeast"/>
        </w:trPr>
        <w:tc>
          <w:tcPr>
            <w:tcW w:w="917"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2060203</w:t>
            </w:r>
          </w:p>
        </w:tc>
        <w:tc>
          <w:tcPr>
            <w:tcW w:w="91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自然科学基金</w:t>
            </w:r>
          </w:p>
        </w:tc>
        <w:tc>
          <w:tcPr>
            <w:tcW w:w="19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20.00</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20.00</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rPr>
          <w:gridAfter w:val="1"/>
          <w:wAfter w:w="2070" w:type="dxa"/>
          <w:trHeight w:val="360" w:hRule="atLeast"/>
        </w:trPr>
        <w:tc>
          <w:tcPr>
            <w:tcW w:w="917"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2060299</w:t>
            </w:r>
          </w:p>
        </w:tc>
        <w:tc>
          <w:tcPr>
            <w:tcW w:w="91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其他基础研究支出</w:t>
            </w:r>
          </w:p>
        </w:tc>
        <w:tc>
          <w:tcPr>
            <w:tcW w:w="19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10.00</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10.00</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rPr>
          <w:gridAfter w:val="1"/>
          <w:wAfter w:w="2070" w:type="dxa"/>
          <w:trHeight w:val="360" w:hRule="atLeast"/>
        </w:trPr>
        <w:tc>
          <w:tcPr>
            <w:tcW w:w="917"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20603</w:t>
            </w:r>
          </w:p>
        </w:tc>
        <w:tc>
          <w:tcPr>
            <w:tcW w:w="91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应用研究</w:t>
            </w:r>
          </w:p>
        </w:tc>
        <w:tc>
          <w:tcPr>
            <w:tcW w:w="19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10.00</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10.00</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rPr>
          <w:gridAfter w:val="1"/>
          <w:wAfter w:w="2070" w:type="dxa"/>
          <w:trHeight w:val="360" w:hRule="atLeast"/>
        </w:trPr>
        <w:tc>
          <w:tcPr>
            <w:tcW w:w="917"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2060399</w:t>
            </w:r>
          </w:p>
        </w:tc>
        <w:tc>
          <w:tcPr>
            <w:tcW w:w="91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其他应用研究支出</w:t>
            </w:r>
          </w:p>
        </w:tc>
        <w:tc>
          <w:tcPr>
            <w:tcW w:w="19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10.00</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10.00</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rPr>
          <w:gridAfter w:val="1"/>
          <w:wAfter w:w="2070" w:type="dxa"/>
          <w:trHeight w:val="360" w:hRule="atLeast"/>
        </w:trPr>
        <w:tc>
          <w:tcPr>
            <w:tcW w:w="917"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20604</w:t>
            </w:r>
          </w:p>
        </w:tc>
        <w:tc>
          <w:tcPr>
            <w:tcW w:w="91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技术研究与开发</w:t>
            </w:r>
          </w:p>
        </w:tc>
        <w:tc>
          <w:tcPr>
            <w:tcW w:w="19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26.00</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26.00</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rPr>
          <w:gridAfter w:val="1"/>
          <w:wAfter w:w="2070" w:type="dxa"/>
          <w:trHeight w:val="360" w:hRule="atLeast"/>
        </w:trPr>
        <w:tc>
          <w:tcPr>
            <w:tcW w:w="917"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2060402</w:t>
            </w:r>
          </w:p>
        </w:tc>
        <w:tc>
          <w:tcPr>
            <w:tcW w:w="91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应用技术研究与开发</w:t>
            </w:r>
          </w:p>
        </w:tc>
        <w:tc>
          <w:tcPr>
            <w:tcW w:w="19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21.00</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21.00</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rPr>
          <w:gridAfter w:val="1"/>
          <w:wAfter w:w="2070" w:type="dxa"/>
          <w:trHeight w:val="360" w:hRule="atLeast"/>
        </w:trPr>
        <w:tc>
          <w:tcPr>
            <w:tcW w:w="917"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2060499</w:t>
            </w:r>
          </w:p>
        </w:tc>
        <w:tc>
          <w:tcPr>
            <w:tcW w:w="91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其他技术研究与开发</w:t>
            </w:r>
          </w:p>
        </w:tc>
        <w:tc>
          <w:tcPr>
            <w:tcW w:w="19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5.00</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5.00</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rPr>
          <w:gridAfter w:val="1"/>
          <w:wAfter w:w="2070" w:type="dxa"/>
          <w:trHeight w:val="360" w:hRule="atLeast"/>
        </w:trPr>
        <w:tc>
          <w:tcPr>
            <w:tcW w:w="917"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208</w:t>
            </w:r>
          </w:p>
        </w:tc>
        <w:tc>
          <w:tcPr>
            <w:tcW w:w="91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社会保障和就业支出</w:t>
            </w:r>
          </w:p>
        </w:tc>
        <w:tc>
          <w:tcPr>
            <w:tcW w:w="19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right="100"/>
              <w:jc w:val="right"/>
              <w:rPr>
                <w:rFonts w:ascii="宋体" w:hAnsi="宋体" w:eastAsia="宋体" w:cs="宋体"/>
                <w:kern w:val="0"/>
                <w:sz w:val="20"/>
                <w:szCs w:val="20"/>
              </w:rPr>
            </w:pPr>
            <w:r>
              <w:rPr>
                <w:rFonts w:hint="eastAsia" w:ascii="宋体" w:hAnsi="宋体" w:eastAsia="宋体" w:cs="宋体"/>
                <w:kern w:val="0"/>
                <w:sz w:val="20"/>
                <w:szCs w:val="20"/>
              </w:rPr>
              <w:t xml:space="preserve">33.99 </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right="100"/>
              <w:jc w:val="right"/>
              <w:rPr>
                <w:rFonts w:ascii="宋体" w:hAnsi="宋体" w:eastAsia="宋体" w:cs="宋体"/>
                <w:kern w:val="0"/>
                <w:sz w:val="20"/>
                <w:szCs w:val="20"/>
              </w:rPr>
            </w:pPr>
            <w:r>
              <w:rPr>
                <w:rFonts w:hint="eastAsia" w:ascii="宋体" w:hAnsi="宋体" w:eastAsia="宋体" w:cs="宋体"/>
                <w:kern w:val="0"/>
                <w:sz w:val="20"/>
                <w:szCs w:val="20"/>
              </w:rPr>
              <w:t xml:space="preserve">33.99 </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rPr>
          <w:gridAfter w:val="1"/>
          <w:wAfter w:w="2070" w:type="dxa"/>
          <w:trHeight w:val="360" w:hRule="atLeast"/>
        </w:trPr>
        <w:tc>
          <w:tcPr>
            <w:tcW w:w="917"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20805</w:t>
            </w:r>
          </w:p>
        </w:tc>
        <w:tc>
          <w:tcPr>
            <w:tcW w:w="91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行政事业单位离退休</w:t>
            </w:r>
          </w:p>
        </w:tc>
        <w:tc>
          <w:tcPr>
            <w:tcW w:w="19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2.56</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2.56</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rPr>
          <w:gridAfter w:val="1"/>
          <w:wAfter w:w="2070" w:type="dxa"/>
          <w:trHeight w:val="360" w:hRule="atLeast"/>
        </w:trPr>
        <w:tc>
          <w:tcPr>
            <w:tcW w:w="917"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2080502</w:t>
            </w:r>
          </w:p>
        </w:tc>
        <w:tc>
          <w:tcPr>
            <w:tcW w:w="91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事业单位离退休</w:t>
            </w:r>
          </w:p>
        </w:tc>
        <w:tc>
          <w:tcPr>
            <w:tcW w:w="19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2.56</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2.56</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rPr>
          <w:gridAfter w:val="1"/>
          <w:wAfter w:w="2070" w:type="dxa"/>
          <w:trHeight w:val="360" w:hRule="atLeast"/>
        </w:trPr>
        <w:tc>
          <w:tcPr>
            <w:tcW w:w="917"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20808</w:t>
            </w:r>
          </w:p>
        </w:tc>
        <w:tc>
          <w:tcPr>
            <w:tcW w:w="91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抚恤</w:t>
            </w:r>
          </w:p>
        </w:tc>
        <w:tc>
          <w:tcPr>
            <w:tcW w:w="19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right="200"/>
              <w:jc w:val="right"/>
              <w:rPr>
                <w:rFonts w:ascii="宋体" w:hAnsi="宋体" w:eastAsia="宋体" w:cs="宋体"/>
                <w:kern w:val="0"/>
                <w:sz w:val="20"/>
                <w:szCs w:val="20"/>
              </w:rPr>
            </w:pPr>
            <w:r>
              <w:rPr>
                <w:rFonts w:hint="eastAsia" w:ascii="宋体" w:hAnsi="宋体" w:eastAsia="宋体" w:cs="宋体"/>
                <w:kern w:val="0"/>
                <w:sz w:val="20"/>
                <w:szCs w:val="20"/>
              </w:rPr>
              <w:t xml:space="preserve">31.43 </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right="200"/>
              <w:jc w:val="right"/>
              <w:rPr>
                <w:rFonts w:ascii="宋体" w:hAnsi="宋体" w:eastAsia="宋体" w:cs="宋体"/>
                <w:kern w:val="0"/>
                <w:sz w:val="20"/>
                <w:szCs w:val="20"/>
              </w:rPr>
            </w:pPr>
            <w:r>
              <w:rPr>
                <w:rFonts w:hint="eastAsia" w:ascii="宋体" w:hAnsi="宋体" w:eastAsia="宋体" w:cs="宋体"/>
                <w:kern w:val="0"/>
                <w:sz w:val="20"/>
                <w:szCs w:val="20"/>
              </w:rPr>
              <w:t xml:space="preserve">31.43 </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rPr>
          <w:gridAfter w:val="1"/>
          <w:wAfter w:w="2070" w:type="dxa"/>
          <w:trHeight w:val="360" w:hRule="atLeast"/>
        </w:trPr>
        <w:tc>
          <w:tcPr>
            <w:tcW w:w="1833"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2080801</w:t>
            </w: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死亡抚恤</w:t>
            </w:r>
          </w:p>
        </w:tc>
        <w:tc>
          <w:tcPr>
            <w:tcW w:w="19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31.43 </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9.67 </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r>
      <w:tr>
        <w:trPr>
          <w:gridAfter w:val="1"/>
          <w:wAfter w:w="2070" w:type="dxa"/>
          <w:trHeight w:val="360" w:hRule="atLeast"/>
        </w:trPr>
        <w:tc>
          <w:tcPr>
            <w:tcW w:w="917"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w:t>
            </w:r>
          </w:p>
        </w:tc>
        <w:tc>
          <w:tcPr>
            <w:tcW w:w="91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卫生健康支出</w:t>
            </w:r>
          </w:p>
        </w:tc>
        <w:tc>
          <w:tcPr>
            <w:tcW w:w="19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2183.21 </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2183.21 </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rPr>
          <w:gridAfter w:val="1"/>
          <w:wAfter w:w="2070" w:type="dxa"/>
          <w:trHeight w:val="360" w:hRule="atLeast"/>
        </w:trPr>
        <w:tc>
          <w:tcPr>
            <w:tcW w:w="917"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21002</w:t>
            </w:r>
          </w:p>
        </w:tc>
        <w:tc>
          <w:tcPr>
            <w:tcW w:w="91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公立医院</w:t>
            </w:r>
          </w:p>
        </w:tc>
        <w:tc>
          <w:tcPr>
            <w:tcW w:w="19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1327.21</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1327.21</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rPr>
          <w:gridAfter w:val="1"/>
          <w:wAfter w:w="2070" w:type="dxa"/>
          <w:trHeight w:val="360" w:hRule="atLeast"/>
        </w:trPr>
        <w:tc>
          <w:tcPr>
            <w:tcW w:w="1833"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2100201</w:t>
            </w: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综合医院</w:t>
            </w:r>
          </w:p>
        </w:tc>
        <w:tc>
          <w:tcPr>
            <w:tcW w:w="19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815.98</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815.98</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r>
      <w:tr>
        <w:trPr>
          <w:gridAfter w:val="1"/>
          <w:wAfter w:w="2070" w:type="dxa"/>
          <w:trHeight w:val="360" w:hRule="atLeast"/>
        </w:trPr>
        <w:tc>
          <w:tcPr>
            <w:tcW w:w="1833"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2100299</w:t>
            </w: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其他公立医院支出</w:t>
            </w:r>
          </w:p>
        </w:tc>
        <w:tc>
          <w:tcPr>
            <w:tcW w:w="19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511.23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511.23</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r>
      <w:tr>
        <w:trPr>
          <w:gridAfter w:val="1"/>
          <w:wAfter w:w="2070" w:type="dxa"/>
          <w:trHeight w:val="360" w:hRule="atLeast"/>
        </w:trPr>
        <w:tc>
          <w:tcPr>
            <w:tcW w:w="917"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21004</w:t>
            </w:r>
          </w:p>
        </w:tc>
        <w:tc>
          <w:tcPr>
            <w:tcW w:w="91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公共卫生</w:t>
            </w:r>
          </w:p>
        </w:tc>
        <w:tc>
          <w:tcPr>
            <w:tcW w:w="19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856.00</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856.00</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r>
      <w:tr>
        <w:trPr>
          <w:gridAfter w:val="1"/>
          <w:wAfter w:w="2070" w:type="dxa"/>
          <w:trHeight w:val="360" w:hRule="atLeast"/>
        </w:trPr>
        <w:tc>
          <w:tcPr>
            <w:tcW w:w="917"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p>
        </w:tc>
        <w:tc>
          <w:tcPr>
            <w:tcW w:w="916" w:type="dxa"/>
            <w:tcBorders>
              <w:top w:val="single" w:color="auto" w:sz="4" w:space="0"/>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2100408</w:t>
            </w: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基本公共卫生服务</w:t>
            </w:r>
          </w:p>
        </w:tc>
        <w:tc>
          <w:tcPr>
            <w:tcW w:w="19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11.00</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11.00</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r>
      <w:tr>
        <w:trPr>
          <w:trHeight w:val="360" w:hRule="atLeast"/>
        </w:trPr>
        <w:tc>
          <w:tcPr>
            <w:tcW w:w="1833"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2100409</w:t>
            </w: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重大公共卫生专项</w:t>
            </w:r>
          </w:p>
        </w:tc>
        <w:tc>
          <w:tcPr>
            <w:tcW w:w="19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453.00</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453.00</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c>
          <w:tcPr>
            <w:tcW w:w="2070" w:type="dxa"/>
          </w:tcPr>
          <w:p>
            <w:pPr>
              <w:widowControl/>
              <w:jc w:val="right"/>
              <w:rPr>
                <w:rFonts w:ascii="宋体" w:hAnsi="宋体" w:eastAsia="宋体" w:cs="宋体"/>
                <w:kern w:val="0"/>
                <w:sz w:val="20"/>
                <w:szCs w:val="20"/>
              </w:rPr>
            </w:pPr>
          </w:p>
        </w:tc>
      </w:tr>
      <w:tr>
        <w:trPr>
          <w:trHeight w:val="360" w:hRule="atLeast"/>
        </w:trPr>
        <w:tc>
          <w:tcPr>
            <w:tcW w:w="1833"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2100499</w:t>
            </w: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其他公共卫生支出</w:t>
            </w:r>
          </w:p>
        </w:tc>
        <w:tc>
          <w:tcPr>
            <w:tcW w:w="19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392.00</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392.00</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c>
          <w:tcPr>
            <w:tcW w:w="2070" w:type="dxa"/>
          </w:tcPr>
          <w:p>
            <w:pPr>
              <w:widowControl/>
              <w:jc w:val="right"/>
              <w:rPr>
                <w:rFonts w:ascii="宋体" w:hAnsi="宋体" w:eastAsia="宋体" w:cs="宋体"/>
                <w:kern w:val="0"/>
                <w:sz w:val="20"/>
                <w:szCs w:val="20"/>
              </w:rPr>
            </w:pPr>
          </w:p>
        </w:tc>
      </w:tr>
      <w:tr>
        <w:trPr>
          <w:gridAfter w:val="1"/>
          <w:wAfter w:w="2070" w:type="dxa"/>
          <w:trHeight w:val="360" w:hRule="atLeast"/>
        </w:trPr>
        <w:tc>
          <w:tcPr>
            <w:tcW w:w="917"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p>
        </w:tc>
        <w:tc>
          <w:tcPr>
            <w:tcW w:w="91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9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2296" w:type="dxa"/>
          </w:tcPr>
          <w:p>
            <w:pPr>
              <w:widowControl/>
              <w:jc w:val="right"/>
              <w:rPr>
                <w:rFonts w:ascii="宋体" w:hAnsi="宋体" w:eastAsia="宋体" w:cs="宋体"/>
                <w:kern w:val="0"/>
                <w:sz w:val="20"/>
                <w:szCs w:val="20"/>
              </w:rPr>
            </w:pPr>
          </w:p>
        </w:tc>
      </w:tr>
    </w:tbl>
    <w:p>
      <w:pPr>
        <w:jc w:val="left"/>
        <w:rPr>
          <w:rFonts w:ascii="仿宋" w:hAnsi="仿宋" w:eastAsia="仿宋" w:cs="仿宋"/>
          <w:sz w:val="28"/>
          <w:szCs w:val="28"/>
        </w:rPr>
      </w:pPr>
    </w:p>
    <w:p>
      <w:pPr>
        <w:jc w:val="left"/>
        <w:rPr>
          <w:rFonts w:ascii="仿宋" w:hAnsi="仿宋" w:eastAsia="仿宋" w:cs="仿宋"/>
          <w:sz w:val="28"/>
          <w:szCs w:val="28"/>
        </w:rPr>
      </w:pPr>
    </w:p>
    <w:p>
      <w:pPr>
        <w:jc w:val="left"/>
        <w:rPr>
          <w:rFonts w:cs="仿宋" w:asciiTheme="minorEastAsia" w:hAnsiTheme="minorEastAsia"/>
          <w:sz w:val="24"/>
          <w:szCs w:val="24"/>
        </w:rPr>
      </w:pPr>
      <w:r>
        <w:rPr>
          <w:rFonts w:cs="仿宋" w:asciiTheme="minorEastAsia" w:hAnsiTheme="minorEastAsia"/>
          <w:sz w:val="24"/>
          <w:szCs w:val="24"/>
        </w:rPr>
        <w:t>表6</w:t>
      </w:r>
      <w:r>
        <w:rPr>
          <w:rFonts w:hint="eastAsia" w:cs="仿宋" w:asciiTheme="minorEastAsia" w:hAnsiTheme="minorEastAsia"/>
          <w:sz w:val="24"/>
          <w:szCs w:val="24"/>
        </w:rPr>
        <w:t>：</w:t>
      </w:r>
    </w:p>
    <w:p>
      <w:pPr>
        <w:ind w:firstLine="2221" w:firstLineChars="790"/>
        <w:jc w:val="left"/>
        <w:rPr>
          <w:rFonts w:cs="仿宋" w:asciiTheme="minorEastAsia" w:hAnsiTheme="minorEastAsia"/>
          <w:b/>
          <w:sz w:val="28"/>
          <w:szCs w:val="28"/>
        </w:rPr>
      </w:pPr>
      <w:r>
        <w:rPr>
          <w:rFonts w:cs="仿宋" w:asciiTheme="minorEastAsia" w:hAnsiTheme="minorEastAsia"/>
          <w:b/>
          <w:sz w:val="28"/>
          <w:szCs w:val="28"/>
        </w:rPr>
        <w:t>一般公共预算财政拨款基本支出决算表</w:t>
      </w:r>
    </w:p>
    <w:p>
      <w:pPr>
        <w:ind w:firstLine="2640" w:firstLineChars="1100"/>
        <w:jc w:val="left"/>
        <w:rPr>
          <w:rFonts w:cs="仿宋" w:asciiTheme="minorEastAsia" w:hAnsiTheme="minorEastAsia"/>
          <w:sz w:val="24"/>
          <w:szCs w:val="24"/>
        </w:rPr>
      </w:pPr>
    </w:p>
    <w:tbl>
      <w:tblPr>
        <w:tblStyle w:val="5"/>
        <w:tblW w:w="9240" w:type="dxa"/>
        <w:tblInd w:w="108" w:type="dxa"/>
        <w:tblLayout w:type="autofit"/>
        <w:tblCellMar>
          <w:top w:w="0" w:type="dxa"/>
          <w:left w:w="108" w:type="dxa"/>
          <w:bottom w:w="0" w:type="dxa"/>
          <w:right w:w="108" w:type="dxa"/>
        </w:tblCellMar>
      </w:tblPr>
      <w:tblGrid>
        <w:gridCol w:w="516"/>
        <w:gridCol w:w="716"/>
        <w:gridCol w:w="2858"/>
        <w:gridCol w:w="1796"/>
        <w:gridCol w:w="1438"/>
        <w:gridCol w:w="1916"/>
      </w:tblGrid>
      <w:tr>
        <w:trPr>
          <w:trHeight w:val="285" w:hRule="atLeast"/>
        </w:trPr>
        <w:tc>
          <w:tcPr>
            <w:tcW w:w="3742"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部门：益阳市中心医院</w:t>
            </w:r>
          </w:p>
        </w:tc>
        <w:tc>
          <w:tcPr>
            <w:tcW w:w="1815" w:type="dxa"/>
            <w:tcBorders>
              <w:top w:val="nil"/>
              <w:left w:val="nil"/>
              <w:bottom w:val="nil"/>
              <w:right w:val="nil"/>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767" w:type="dxa"/>
            <w:tcBorders>
              <w:top w:val="nil"/>
              <w:left w:val="nil"/>
              <w:bottom w:val="nil"/>
              <w:right w:val="nil"/>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9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财决公开06表</w:t>
            </w:r>
          </w:p>
        </w:tc>
      </w:tr>
      <w:tr>
        <w:tblPrEx>
          <w:tblCellMar>
            <w:top w:w="0" w:type="dxa"/>
            <w:left w:w="108" w:type="dxa"/>
            <w:bottom w:w="0" w:type="dxa"/>
            <w:right w:w="108" w:type="dxa"/>
          </w:tblCellMar>
        </w:tblPrEx>
        <w:trPr>
          <w:trHeight w:val="300" w:hRule="atLeast"/>
        </w:trPr>
        <w:tc>
          <w:tcPr>
            <w:tcW w:w="394"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90" w:type="dxa"/>
            <w:tcBorders>
              <w:top w:val="nil"/>
              <w:left w:val="nil"/>
              <w:bottom w:val="nil"/>
              <w:right w:val="nil"/>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858" w:type="dxa"/>
            <w:tcBorders>
              <w:top w:val="nil"/>
              <w:left w:val="nil"/>
              <w:bottom w:val="nil"/>
              <w:right w:val="nil"/>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815" w:type="dxa"/>
            <w:tcBorders>
              <w:top w:val="nil"/>
              <w:left w:val="nil"/>
              <w:bottom w:val="nil"/>
              <w:right w:val="nil"/>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767" w:type="dxa"/>
            <w:tcBorders>
              <w:top w:val="nil"/>
              <w:left w:val="nil"/>
              <w:bottom w:val="nil"/>
              <w:right w:val="nil"/>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9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60" w:hRule="atLeast"/>
        </w:trPr>
        <w:tc>
          <w:tcPr>
            <w:tcW w:w="9240" w:type="dxa"/>
            <w:gridSpan w:val="6"/>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注：1.本表依据《一般公共预算财政拨款基本支出决算明细表》（财决08-1表）进行批复。</w:t>
            </w:r>
          </w:p>
        </w:tc>
      </w:tr>
      <w:tr>
        <w:tblPrEx>
          <w:tblCellMar>
            <w:top w:w="0" w:type="dxa"/>
            <w:left w:w="108" w:type="dxa"/>
            <w:bottom w:w="0" w:type="dxa"/>
            <w:right w:w="108" w:type="dxa"/>
          </w:tblCellMar>
        </w:tblPrEx>
        <w:trPr>
          <w:trHeight w:val="360" w:hRule="atLeast"/>
        </w:trPr>
        <w:tc>
          <w:tcPr>
            <w:tcW w:w="3742"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2.本表批复到款级科目。</w:t>
            </w:r>
          </w:p>
        </w:tc>
        <w:tc>
          <w:tcPr>
            <w:tcW w:w="1815" w:type="dxa"/>
            <w:tcBorders>
              <w:top w:val="nil"/>
              <w:left w:val="nil"/>
              <w:bottom w:val="nil"/>
              <w:right w:val="nil"/>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767" w:type="dxa"/>
            <w:tcBorders>
              <w:top w:val="nil"/>
              <w:left w:val="nil"/>
              <w:bottom w:val="nil"/>
              <w:right w:val="nil"/>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9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60" w:hRule="atLeast"/>
        </w:trPr>
        <w:tc>
          <w:tcPr>
            <w:tcW w:w="5557"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3.本表以“万元”为金额单位（保留两位小数）。</w:t>
            </w:r>
          </w:p>
        </w:tc>
        <w:tc>
          <w:tcPr>
            <w:tcW w:w="1767" w:type="dxa"/>
            <w:tcBorders>
              <w:top w:val="nil"/>
              <w:left w:val="nil"/>
              <w:bottom w:val="nil"/>
              <w:right w:val="nil"/>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9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rPr>
          <w:trHeight w:val="360" w:hRule="atLeast"/>
        </w:trPr>
        <w:tc>
          <w:tcPr>
            <w:tcW w:w="7324" w:type="dxa"/>
            <w:gridSpan w:val="5"/>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4、本表反映部门本年度一般公共预算财政拨款基本支出明细情况。</w:t>
            </w:r>
          </w:p>
        </w:tc>
        <w:tc>
          <w:tcPr>
            <w:tcW w:w="19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rPr>
          <w:trHeight w:val="450" w:hRule="atLeast"/>
        </w:trPr>
        <w:tc>
          <w:tcPr>
            <w:tcW w:w="3742"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    目</w:t>
            </w:r>
          </w:p>
        </w:tc>
        <w:tc>
          <w:tcPr>
            <w:tcW w:w="181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本年支出合计</w:t>
            </w:r>
          </w:p>
        </w:tc>
        <w:tc>
          <w:tcPr>
            <w:tcW w:w="176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人员经费</w:t>
            </w:r>
          </w:p>
        </w:tc>
        <w:tc>
          <w:tcPr>
            <w:tcW w:w="191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公用经费</w:t>
            </w:r>
          </w:p>
        </w:tc>
      </w:tr>
      <w:tr>
        <w:trPr>
          <w:trHeight w:val="450" w:hRule="atLeast"/>
        </w:trPr>
        <w:tc>
          <w:tcPr>
            <w:tcW w:w="884" w:type="dxa"/>
            <w:gridSpan w:val="2"/>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经济分类科目编码</w:t>
            </w:r>
          </w:p>
        </w:tc>
        <w:tc>
          <w:tcPr>
            <w:tcW w:w="2858"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科目名称</w:t>
            </w:r>
          </w:p>
        </w:tc>
        <w:tc>
          <w:tcPr>
            <w:tcW w:w="18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7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9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r>
      <w:tr>
        <w:trPr>
          <w:trHeight w:val="450" w:hRule="atLeast"/>
        </w:trPr>
        <w:tc>
          <w:tcPr>
            <w:tcW w:w="884"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000000"/>
                <w:kern w:val="0"/>
                <w:sz w:val="20"/>
                <w:szCs w:val="20"/>
              </w:rPr>
            </w:pPr>
          </w:p>
        </w:tc>
        <w:tc>
          <w:tcPr>
            <w:tcW w:w="285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8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7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9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r>
      <w:tr>
        <w:trPr>
          <w:trHeight w:val="450" w:hRule="atLeast"/>
        </w:trPr>
        <w:tc>
          <w:tcPr>
            <w:tcW w:w="884"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000000"/>
                <w:kern w:val="0"/>
                <w:sz w:val="20"/>
                <w:szCs w:val="20"/>
              </w:rPr>
            </w:pPr>
          </w:p>
        </w:tc>
        <w:tc>
          <w:tcPr>
            <w:tcW w:w="285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8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7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9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r>
      <w:tr>
        <w:trPr>
          <w:trHeight w:val="450" w:hRule="atLeast"/>
        </w:trPr>
        <w:tc>
          <w:tcPr>
            <w:tcW w:w="3742"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栏次</w:t>
            </w:r>
          </w:p>
        </w:tc>
        <w:tc>
          <w:tcPr>
            <w:tcW w:w="181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7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19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r>
      <w:tr>
        <w:trPr>
          <w:trHeight w:val="450" w:hRule="atLeast"/>
        </w:trPr>
        <w:tc>
          <w:tcPr>
            <w:tcW w:w="3742"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合计</w:t>
            </w:r>
          </w:p>
        </w:tc>
        <w:tc>
          <w:tcPr>
            <w:tcW w:w="1815"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2315.91</w:t>
            </w:r>
          </w:p>
        </w:tc>
        <w:tc>
          <w:tcPr>
            <w:tcW w:w="1767"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2315.91</w:t>
            </w:r>
          </w:p>
        </w:tc>
        <w:tc>
          <w:tcPr>
            <w:tcW w:w="1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r>
      <w:tr>
        <w:trPr>
          <w:trHeight w:val="450" w:hRule="atLeast"/>
        </w:trPr>
        <w:tc>
          <w:tcPr>
            <w:tcW w:w="394"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301</w:t>
            </w:r>
          </w:p>
        </w:tc>
        <w:tc>
          <w:tcPr>
            <w:tcW w:w="49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8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工资福利支出</w:t>
            </w:r>
          </w:p>
        </w:tc>
        <w:tc>
          <w:tcPr>
            <w:tcW w:w="18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500.46</w:t>
            </w:r>
          </w:p>
        </w:tc>
        <w:tc>
          <w:tcPr>
            <w:tcW w:w="17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right="100"/>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500.46</w:t>
            </w:r>
          </w:p>
        </w:tc>
        <w:tc>
          <w:tcPr>
            <w:tcW w:w="191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rPr>
          <w:trHeight w:val="450" w:hRule="atLeast"/>
        </w:trPr>
        <w:tc>
          <w:tcPr>
            <w:tcW w:w="884"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30101</w:t>
            </w:r>
          </w:p>
        </w:tc>
        <w:tc>
          <w:tcPr>
            <w:tcW w:w="28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基本工资</w:t>
            </w:r>
          </w:p>
        </w:tc>
        <w:tc>
          <w:tcPr>
            <w:tcW w:w="18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490.66</w:t>
            </w:r>
          </w:p>
        </w:tc>
        <w:tc>
          <w:tcPr>
            <w:tcW w:w="17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490.66</w:t>
            </w:r>
          </w:p>
        </w:tc>
        <w:tc>
          <w:tcPr>
            <w:tcW w:w="191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rPr>
          <w:trHeight w:val="450" w:hRule="atLeast"/>
        </w:trPr>
        <w:tc>
          <w:tcPr>
            <w:tcW w:w="394"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color w:val="000000"/>
                <w:kern w:val="0"/>
                <w:sz w:val="20"/>
                <w:szCs w:val="20"/>
              </w:rPr>
            </w:pPr>
          </w:p>
        </w:tc>
        <w:tc>
          <w:tcPr>
            <w:tcW w:w="49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30102</w:t>
            </w:r>
          </w:p>
        </w:tc>
        <w:tc>
          <w:tcPr>
            <w:tcW w:w="28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其他工资福利支出</w:t>
            </w:r>
          </w:p>
        </w:tc>
        <w:tc>
          <w:tcPr>
            <w:tcW w:w="18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9.80</w:t>
            </w:r>
          </w:p>
        </w:tc>
        <w:tc>
          <w:tcPr>
            <w:tcW w:w="17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9.80</w:t>
            </w:r>
          </w:p>
        </w:tc>
        <w:tc>
          <w:tcPr>
            <w:tcW w:w="191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p>
        </w:tc>
      </w:tr>
      <w:tr>
        <w:trPr>
          <w:trHeight w:val="450" w:hRule="atLeast"/>
        </w:trPr>
        <w:tc>
          <w:tcPr>
            <w:tcW w:w="394"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color w:val="000000"/>
                <w:kern w:val="0"/>
                <w:sz w:val="20"/>
                <w:szCs w:val="20"/>
              </w:rPr>
            </w:pPr>
          </w:p>
        </w:tc>
        <w:tc>
          <w:tcPr>
            <w:tcW w:w="49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302</w:t>
            </w:r>
          </w:p>
        </w:tc>
        <w:tc>
          <w:tcPr>
            <w:tcW w:w="28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商品和服务支出</w:t>
            </w:r>
          </w:p>
        </w:tc>
        <w:tc>
          <w:tcPr>
            <w:tcW w:w="18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1544.74</w:t>
            </w:r>
          </w:p>
        </w:tc>
        <w:tc>
          <w:tcPr>
            <w:tcW w:w="17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1544.74</w:t>
            </w:r>
          </w:p>
        </w:tc>
        <w:tc>
          <w:tcPr>
            <w:tcW w:w="191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p>
        </w:tc>
      </w:tr>
      <w:tr>
        <w:trPr>
          <w:trHeight w:val="450" w:hRule="atLeast"/>
        </w:trPr>
        <w:tc>
          <w:tcPr>
            <w:tcW w:w="394"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color w:val="000000"/>
                <w:kern w:val="0"/>
                <w:sz w:val="20"/>
                <w:szCs w:val="20"/>
              </w:rPr>
            </w:pPr>
          </w:p>
        </w:tc>
        <w:tc>
          <w:tcPr>
            <w:tcW w:w="49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30201</w:t>
            </w:r>
          </w:p>
        </w:tc>
        <w:tc>
          <w:tcPr>
            <w:tcW w:w="28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培训费</w:t>
            </w:r>
          </w:p>
        </w:tc>
        <w:tc>
          <w:tcPr>
            <w:tcW w:w="18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825.72</w:t>
            </w:r>
          </w:p>
        </w:tc>
        <w:tc>
          <w:tcPr>
            <w:tcW w:w="17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825.72</w:t>
            </w:r>
          </w:p>
        </w:tc>
        <w:tc>
          <w:tcPr>
            <w:tcW w:w="191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p>
        </w:tc>
      </w:tr>
      <w:tr>
        <w:trPr>
          <w:trHeight w:val="450" w:hRule="atLeast"/>
        </w:trPr>
        <w:tc>
          <w:tcPr>
            <w:tcW w:w="394"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color w:val="000000"/>
                <w:kern w:val="0"/>
                <w:sz w:val="20"/>
                <w:szCs w:val="20"/>
              </w:rPr>
            </w:pPr>
          </w:p>
        </w:tc>
        <w:tc>
          <w:tcPr>
            <w:tcW w:w="49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30202</w:t>
            </w:r>
          </w:p>
        </w:tc>
        <w:tc>
          <w:tcPr>
            <w:tcW w:w="28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专用材料费</w:t>
            </w:r>
          </w:p>
        </w:tc>
        <w:tc>
          <w:tcPr>
            <w:tcW w:w="18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337.51</w:t>
            </w:r>
          </w:p>
        </w:tc>
        <w:tc>
          <w:tcPr>
            <w:tcW w:w="17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337.51</w:t>
            </w:r>
          </w:p>
        </w:tc>
        <w:tc>
          <w:tcPr>
            <w:tcW w:w="191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p>
        </w:tc>
      </w:tr>
      <w:tr>
        <w:trPr>
          <w:trHeight w:val="450" w:hRule="atLeast"/>
        </w:trPr>
        <w:tc>
          <w:tcPr>
            <w:tcW w:w="394"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color w:val="000000"/>
                <w:kern w:val="0"/>
                <w:sz w:val="20"/>
                <w:szCs w:val="20"/>
              </w:rPr>
            </w:pPr>
          </w:p>
        </w:tc>
        <w:tc>
          <w:tcPr>
            <w:tcW w:w="49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30203</w:t>
            </w:r>
          </w:p>
        </w:tc>
        <w:tc>
          <w:tcPr>
            <w:tcW w:w="28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其他商品和服务支出</w:t>
            </w:r>
          </w:p>
        </w:tc>
        <w:tc>
          <w:tcPr>
            <w:tcW w:w="18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381.51</w:t>
            </w:r>
          </w:p>
        </w:tc>
        <w:tc>
          <w:tcPr>
            <w:tcW w:w="17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381.51</w:t>
            </w:r>
          </w:p>
        </w:tc>
        <w:tc>
          <w:tcPr>
            <w:tcW w:w="191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p>
        </w:tc>
      </w:tr>
      <w:tr>
        <w:trPr>
          <w:trHeight w:val="450" w:hRule="atLeast"/>
        </w:trPr>
        <w:tc>
          <w:tcPr>
            <w:tcW w:w="394"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303</w:t>
            </w:r>
          </w:p>
        </w:tc>
        <w:tc>
          <w:tcPr>
            <w:tcW w:w="49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8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对个人和家庭的补助</w:t>
            </w:r>
          </w:p>
        </w:tc>
        <w:tc>
          <w:tcPr>
            <w:tcW w:w="18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270.71</w:t>
            </w:r>
          </w:p>
        </w:tc>
        <w:tc>
          <w:tcPr>
            <w:tcW w:w="17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270.71</w:t>
            </w:r>
          </w:p>
        </w:tc>
        <w:tc>
          <w:tcPr>
            <w:tcW w:w="191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rPr>
          <w:trHeight w:val="450" w:hRule="atLeast"/>
        </w:trPr>
        <w:tc>
          <w:tcPr>
            <w:tcW w:w="884"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30301</w:t>
            </w:r>
          </w:p>
        </w:tc>
        <w:tc>
          <w:tcPr>
            <w:tcW w:w="28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离休费</w:t>
            </w:r>
          </w:p>
        </w:tc>
        <w:tc>
          <w:tcPr>
            <w:tcW w:w="18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54.06</w:t>
            </w:r>
          </w:p>
        </w:tc>
        <w:tc>
          <w:tcPr>
            <w:tcW w:w="17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54.06</w:t>
            </w:r>
          </w:p>
        </w:tc>
        <w:tc>
          <w:tcPr>
            <w:tcW w:w="191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rPr>
          <w:trHeight w:val="450" w:hRule="atLeast"/>
        </w:trPr>
        <w:tc>
          <w:tcPr>
            <w:tcW w:w="884"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30302</w:t>
            </w:r>
          </w:p>
        </w:tc>
        <w:tc>
          <w:tcPr>
            <w:tcW w:w="28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退休费</w:t>
            </w:r>
          </w:p>
        </w:tc>
        <w:tc>
          <w:tcPr>
            <w:tcW w:w="18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5.32</w:t>
            </w:r>
          </w:p>
        </w:tc>
        <w:tc>
          <w:tcPr>
            <w:tcW w:w="17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5.32</w:t>
            </w:r>
          </w:p>
        </w:tc>
        <w:tc>
          <w:tcPr>
            <w:tcW w:w="191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p>
        </w:tc>
      </w:tr>
      <w:tr>
        <w:trPr>
          <w:trHeight w:val="450" w:hRule="atLeast"/>
        </w:trPr>
        <w:tc>
          <w:tcPr>
            <w:tcW w:w="884"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30303</w:t>
            </w:r>
          </w:p>
        </w:tc>
        <w:tc>
          <w:tcPr>
            <w:tcW w:w="28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生活补助</w:t>
            </w:r>
          </w:p>
        </w:tc>
        <w:tc>
          <w:tcPr>
            <w:tcW w:w="18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176.64</w:t>
            </w:r>
          </w:p>
        </w:tc>
        <w:tc>
          <w:tcPr>
            <w:tcW w:w="17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176.64</w:t>
            </w:r>
          </w:p>
        </w:tc>
        <w:tc>
          <w:tcPr>
            <w:tcW w:w="191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p>
        </w:tc>
      </w:tr>
      <w:tr>
        <w:trPr>
          <w:trHeight w:val="450" w:hRule="atLeast"/>
        </w:trPr>
        <w:tc>
          <w:tcPr>
            <w:tcW w:w="884"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30304</w:t>
            </w:r>
          </w:p>
        </w:tc>
        <w:tc>
          <w:tcPr>
            <w:tcW w:w="28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其他对个人和家庭的补助</w:t>
            </w:r>
          </w:p>
        </w:tc>
        <w:tc>
          <w:tcPr>
            <w:tcW w:w="18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34.69</w:t>
            </w:r>
          </w:p>
        </w:tc>
        <w:tc>
          <w:tcPr>
            <w:tcW w:w="17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34.69</w:t>
            </w:r>
          </w:p>
        </w:tc>
        <w:tc>
          <w:tcPr>
            <w:tcW w:w="191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bl>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r>
        <w:rPr>
          <w:rFonts w:cs="仿宋" w:asciiTheme="minorEastAsia" w:hAnsiTheme="minorEastAsia"/>
          <w:sz w:val="24"/>
          <w:szCs w:val="24"/>
        </w:rPr>
        <w:t>表7：</w:t>
      </w:r>
    </w:p>
    <w:p>
      <w:pPr>
        <w:ind w:firstLine="2286" w:firstLineChars="949"/>
        <w:jc w:val="left"/>
        <w:rPr>
          <w:rFonts w:cs="仿宋" w:asciiTheme="minorEastAsia" w:hAnsiTheme="minorEastAsia"/>
          <w:b/>
          <w:sz w:val="24"/>
          <w:szCs w:val="24"/>
        </w:rPr>
      </w:pPr>
      <w:r>
        <w:rPr>
          <w:rFonts w:cs="仿宋" w:asciiTheme="minorEastAsia" w:hAnsiTheme="minorEastAsia"/>
          <w:b/>
          <w:sz w:val="24"/>
          <w:szCs w:val="24"/>
        </w:rPr>
        <w:t>一般公共预算财政拨款“三公”经费支出决算表</w:t>
      </w:r>
    </w:p>
    <w:p>
      <w:pPr>
        <w:ind w:firstLine="2286" w:firstLineChars="949"/>
        <w:jc w:val="left"/>
        <w:rPr>
          <w:rFonts w:cs="仿宋" w:asciiTheme="minorEastAsia" w:hAnsiTheme="minorEastAsia"/>
          <w:b/>
          <w:sz w:val="24"/>
          <w:szCs w:val="24"/>
        </w:rPr>
      </w:pPr>
    </w:p>
    <w:tbl>
      <w:tblPr>
        <w:tblStyle w:val="5"/>
        <w:tblW w:w="9072" w:type="dxa"/>
        <w:tblInd w:w="108" w:type="dxa"/>
        <w:tblLayout w:type="autofit"/>
        <w:tblCellMar>
          <w:top w:w="0" w:type="dxa"/>
          <w:left w:w="108" w:type="dxa"/>
          <w:bottom w:w="0" w:type="dxa"/>
          <w:right w:w="108" w:type="dxa"/>
        </w:tblCellMar>
      </w:tblPr>
      <w:tblGrid>
        <w:gridCol w:w="5156"/>
        <w:gridCol w:w="3916"/>
      </w:tblGrid>
      <w:tr>
        <w:trPr>
          <w:trHeight w:val="285" w:hRule="atLeast"/>
        </w:trPr>
        <w:tc>
          <w:tcPr>
            <w:tcW w:w="5156" w:type="dxa"/>
            <w:tcBorders>
              <w:top w:val="nil"/>
              <w:left w:val="nil"/>
              <w:bottom w:val="nil"/>
              <w:right w:val="nil"/>
            </w:tcBorders>
            <w:shd w:val="clear" w:color="000000" w:fill="FFFFFF"/>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39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财决公开07表</w:t>
            </w:r>
          </w:p>
        </w:tc>
      </w:tr>
      <w:tr>
        <w:tblPrEx>
          <w:tblCellMar>
            <w:top w:w="0" w:type="dxa"/>
            <w:left w:w="108" w:type="dxa"/>
            <w:bottom w:w="0" w:type="dxa"/>
            <w:right w:w="108" w:type="dxa"/>
          </w:tblCellMar>
        </w:tblPrEx>
        <w:trPr>
          <w:trHeight w:val="300" w:hRule="atLeast"/>
        </w:trPr>
        <w:tc>
          <w:tcPr>
            <w:tcW w:w="5156"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部门：益阳市中心医院</w:t>
            </w:r>
          </w:p>
        </w:tc>
        <w:tc>
          <w:tcPr>
            <w:tcW w:w="3916" w:type="dxa"/>
            <w:tcBorders>
              <w:top w:val="nil"/>
              <w:left w:val="nil"/>
              <w:bottom w:val="nil"/>
              <w:right w:val="nil"/>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金额单位：万元</w:t>
            </w:r>
          </w:p>
        </w:tc>
      </w:tr>
      <w:tr>
        <w:tblPrEx>
          <w:tblCellMar>
            <w:top w:w="0" w:type="dxa"/>
            <w:left w:w="108" w:type="dxa"/>
            <w:bottom w:w="0" w:type="dxa"/>
            <w:right w:w="108" w:type="dxa"/>
          </w:tblCellMar>
        </w:tblPrEx>
        <w:trPr>
          <w:trHeight w:val="300" w:hRule="atLeast"/>
        </w:trPr>
        <w:tc>
          <w:tcPr>
            <w:tcW w:w="51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w:t>
            </w:r>
          </w:p>
        </w:tc>
        <w:tc>
          <w:tcPr>
            <w:tcW w:w="39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决算数</w:t>
            </w:r>
          </w:p>
        </w:tc>
      </w:tr>
      <w:tr>
        <w:tblPrEx>
          <w:tblCellMar>
            <w:top w:w="0" w:type="dxa"/>
            <w:left w:w="108" w:type="dxa"/>
            <w:bottom w:w="0" w:type="dxa"/>
            <w:right w:w="108" w:type="dxa"/>
          </w:tblCellMar>
        </w:tblPrEx>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（一）支出合计</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1．因公出国（境）费</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2．公务用车购置及运行维护费</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（1）公务用车购置费</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（2）公务用车运行维护费</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3．公务接待费</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（1）国内接待费</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其中：外事接待费</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（2）国（境）外接待费</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（二）相关统计数</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w:t>
            </w:r>
          </w:p>
        </w:tc>
      </w:tr>
      <w:tr>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1．因公出国（境）团组数（个）</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2．因公出国（境）人次数（人）</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3．公务用车购置数（辆）</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4．公务用车保有量（辆）</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5．国内公务接待批次（个）</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其中：外事接待批次（个）</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6．国内公务接待人次（人）</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其中：外事接待人次（人）</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7．国（境）外公务接待批次（个）</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8．国（境）外公务接待人次（人）</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rPr>
          <w:trHeight w:val="285" w:hRule="atLeast"/>
        </w:trPr>
        <w:tc>
          <w:tcPr>
            <w:tcW w:w="9072"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注：1.本表依据《 机构运行信息表》（(财决附03表)进行批复。</w:t>
            </w:r>
          </w:p>
        </w:tc>
      </w:tr>
      <w:tr>
        <w:trPr>
          <w:trHeight w:val="285" w:hRule="atLeast"/>
        </w:trPr>
        <w:tc>
          <w:tcPr>
            <w:tcW w:w="5156"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2.本表以“万元”为金额单位（保留两位小数）。</w:t>
            </w:r>
          </w:p>
        </w:tc>
        <w:tc>
          <w:tcPr>
            <w:tcW w:w="391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0"/>
                <w:szCs w:val="20"/>
              </w:rPr>
            </w:pPr>
          </w:p>
        </w:tc>
      </w:tr>
      <w:tr>
        <w:trPr>
          <w:trHeight w:val="285" w:hRule="atLeast"/>
        </w:trPr>
        <w:tc>
          <w:tcPr>
            <w:tcW w:w="9072"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3、本表批复内容为列市级支出的“三公”经费当年安排数和上年结转数；</w:t>
            </w:r>
          </w:p>
        </w:tc>
      </w:tr>
      <w:tr>
        <w:trPr>
          <w:trHeight w:val="285" w:hRule="atLeast"/>
        </w:trPr>
        <w:tc>
          <w:tcPr>
            <w:tcW w:w="9072"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4、一般公共预算拨款支出包括经费拨款和纳入一般公共预算管理的非税收入拨款形成的支出；</w:t>
            </w:r>
          </w:p>
        </w:tc>
      </w:tr>
      <w:tr>
        <w:trPr>
          <w:trHeight w:val="285" w:hRule="atLeast"/>
        </w:trPr>
        <w:tc>
          <w:tcPr>
            <w:tcW w:w="9072" w:type="dxa"/>
            <w:gridSpan w:val="2"/>
            <w:tcBorders>
              <w:top w:val="nil"/>
              <w:left w:val="nil"/>
              <w:bottom w:val="nil"/>
              <w:right w:val="nil"/>
            </w:tcBorders>
            <w:shd w:val="clear" w:color="auto" w:fill="auto"/>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xml:space="preserve">    5、注明因公出国（境）团组数和人数；当年公务用车购置数和保有量；</w:t>
            </w:r>
          </w:p>
        </w:tc>
      </w:tr>
      <w:tr>
        <w:trPr>
          <w:trHeight w:val="285" w:hRule="atLeast"/>
        </w:trPr>
        <w:tc>
          <w:tcPr>
            <w:tcW w:w="5156" w:type="dxa"/>
            <w:tcBorders>
              <w:top w:val="nil"/>
              <w:left w:val="nil"/>
              <w:bottom w:val="nil"/>
              <w:right w:val="nil"/>
            </w:tcBorders>
            <w:shd w:val="clear" w:color="auto" w:fill="auto"/>
            <w:noWrap/>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xml:space="preserve">    6、注明公务接待批次和人数。</w:t>
            </w:r>
          </w:p>
        </w:tc>
        <w:tc>
          <w:tcPr>
            <w:tcW w:w="3916" w:type="dxa"/>
            <w:tcBorders>
              <w:top w:val="nil"/>
              <w:left w:val="nil"/>
              <w:bottom w:val="nil"/>
              <w:right w:val="nil"/>
            </w:tcBorders>
            <w:shd w:val="clear" w:color="auto" w:fill="auto"/>
            <w:noWrap/>
            <w:vAlign w:val="center"/>
          </w:tcPr>
          <w:p>
            <w:pPr>
              <w:widowControl/>
              <w:jc w:val="left"/>
              <w:rPr>
                <w:rFonts w:cs="宋体" w:asciiTheme="minorEastAsia" w:hAnsiTheme="minorEastAsia"/>
                <w:kern w:val="0"/>
                <w:sz w:val="20"/>
                <w:szCs w:val="20"/>
              </w:rPr>
            </w:pPr>
          </w:p>
        </w:tc>
      </w:tr>
      <w:tr>
        <w:trPr>
          <w:trHeight w:val="285" w:hRule="atLeast"/>
        </w:trPr>
        <w:tc>
          <w:tcPr>
            <w:tcW w:w="5156" w:type="dxa"/>
            <w:tcBorders>
              <w:top w:val="nil"/>
              <w:left w:val="nil"/>
              <w:bottom w:val="nil"/>
              <w:right w:val="nil"/>
            </w:tcBorders>
            <w:shd w:val="clear" w:color="auto" w:fill="auto"/>
            <w:noWrap/>
            <w:vAlign w:val="center"/>
          </w:tcPr>
          <w:p>
            <w:pPr>
              <w:widowControl/>
              <w:jc w:val="left"/>
              <w:rPr>
                <w:rFonts w:cs="宋体" w:asciiTheme="minorEastAsia" w:hAnsiTheme="minorEastAsia"/>
                <w:kern w:val="0"/>
                <w:sz w:val="20"/>
                <w:szCs w:val="20"/>
              </w:rPr>
            </w:pPr>
          </w:p>
        </w:tc>
        <w:tc>
          <w:tcPr>
            <w:tcW w:w="3916" w:type="dxa"/>
            <w:tcBorders>
              <w:top w:val="nil"/>
              <w:left w:val="nil"/>
              <w:bottom w:val="nil"/>
              <w:right w:val="nil"/>
            </w:tcBorders>
            <w:shd w:val="clear" w:color="auto" w:fill="auto"/>
            <w:noWrap/>
            <w:vAlign w:val="center"/>
          </w:tcPr>
          <w:p>
            <w:pPr>
              <w:widowControl/>
              <w:jc w:val="left"/>
              <w:rPr>
                <w:rFonts w:cs="宋体" w:asciiTheme="minorEastAsia" w:hAnsiTheme="minorEastAsia"/>
                <w:kern w:val="0"/>
                <w:sz w:val="20"/>
                <w:szCs w:val="20"/>
              </w:rPr>
            </w:pPr>
          </w:p>
        </w:tc>
      </w:tr>
    </w:tbl>
    <w:p>
      <w:pPr>
        <w:jc w:val="left"/>
        <w:rPr>
          <w:rFonts w:ascii="仿宋" w:hAnsi="仿宋" w:eastAsia="仿宋" w:cs="仿宋"/>
          <w:sz w:val="30"/>
          <w:szCs w:val="30"/>
        </w:rPr>
      </w:pPr>
      <w:r>
        <w:rPr>
          <w:rFonts w:hint="eastAsia" w:ascii="仿宋" w:hAnsi="仿宋" w:eastAsia="仿宋" w:cs="仿宋"/>
          <w:sz w:val="30"/>
          <w:szCs w:val="30"/>
        </w:rPr>
        <w:t>说明：</w:t>
      </w:r>
      <w:r>
        <w:rPr>
          <w:rFonts w:hint="eastAsia" w:ascii="仿宋" w:hAnsi="仿宋" w:eastAsia="仿宋" w:cs="宋体"/>
          <w:color w:val="000000"/>
          <w:kern w:val="0"/>
          <w:sz w:val="30"/>
          <w:szCs w:val="30"/>
        </w:rPr>
        <w:t>益阳市中心医院</w:t>
      </w:r>
      <w:r>
        <w:rPr>
          <w:rFonts w:hint="eastAsia" w:ascii="仿宋" w:hAnsi="仿宋" w:eastAsia="仿宋" w:cs="仿宋"/>
          <w:sz w:val="30"/>
          <w:szCs w:val="30"/>
        </w:rPr>
        <w:t>没有三公经费支出，故本表无数据。</w:t>
      </w: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r>
        <w:rPr>
          <w:rFonts w:cs="仿宋" w:asciiTheme="minorEastAsia" w:hAnsiTheme="minorEastAsia"/>
          <w:sz w:val="24"/>
          <w:szCs w:val="24"/>
        </w:rPr>
        <w:t>表8：</w:t>
      </w:r>
    </w:p>
    <w:p>
      <w:pPr>
        <w:ind w:firstLine="2771" w:firstLineChars="1150"/>
        <w:jc w:val="left"/>
        <w:rPr>
          <w:rFonts w:cs="仿宋" w:asciiTheme="minorEastAsia" w:hAnsiTheme="minorEastAsia"/>
          <w:sz w:val="24"/>
          <w:szCs w:val="24"/>
        </w:rPr>
      </w:pPr>
      <w:r>
        <w:rPr>
          <w:rFonts w:cs="仿宋" w:asciiTheme="minorEastAsia" w:hAnsiTheme="minorEastAsia"/>
          <w:b/>
          <w:sz w:val="24"/>
          <w:szCs w:val="24"/>
        </w:rPr>
        <w:t>政府性基金预算财政拨款收入支出决算表</w:t>
      </w:r>
    </w:p>
    <w:p>
      <w:pPr>
        <w:jc w:val="left"/>
        <w:rPr>
          <w:rFonts w:cs="仿宋" w:asciiTheme="minorEastAsia" w:hAnsiTheme="minorEastAsia"/>
          <w:sz w:val="24"/>
          <w:szCs w:val="24"/>
        </w:rPr>
      </w:pPr>
    </w:p>
    <w:tbl>
      <w:tblPr>
        <w:tblStyle w:val="5"/>
        <w:tblW w:w="9900" w:type="dxa"/>
        <w:tblInd w:w="108" w:type="dxa"/>
        <w:tblLayout w:type="autofit"/>
        <w:tblCellMar>
          <w:top w:w="0" w:type="dxa"/>
          <w:left w:w="108" w:type="dxa"/>
          <w:bottom w:w="0" w:type="dxa"/>
          <w:right w:w="108" w:type="dxa"/>
        </w:tblCellMar>
      </w:tblPr>
      <w:tblGrid>
        <w:gridCol w:w="222"/>
        <w:gridCol w:w="1277"/>
        <w:gridCol w:w="1669"/>
        <w:gridCol w:w="1634"/>
        <w:gridCol w:w="1064"/>
        <w:gridCol w:w="644"/>
        <w:gridCol w:w="1043"/>
        <w:gridCol w:w="669"/>
        <w:gridCol w:w="322"/>
        <w:gridCol w:w="1356"/>
      </w:tblGrid>
      <w:tr>
        <w:trPr>
          <w:trHeight w:val="270" w:hRule="atLeast"/>
        </w:trPr>
        <w:tc>
          <w:tcPr>
            <w:tcW w:w="3168"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部门：益阳市中心医院</w:t>
            </w:r>
          </w:p>
        </w:tc>
        <w:tc>
          <w:tcPr>
            <w:tcW w:w="1634"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64"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44"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43"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69" w:type="dxa"/>
            <w:tcBorders>
              <w:top w:val="nil"/>
              <w:left w:val="nil"/>
              <w:bottom w:val="nil"/>
              <w:right w:val="nil"/>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财决公开08表</w:t>
            </w:r>
          </w:p>
        </w:tc>
      </w:tr>
      <w:tr>
        <w:tblPrEx>
          <w:tblCellMar>
            <w:top w:w="0" w:type="dxa"/>
            <w:left w:w="108" w:type="dxa"/>
            <w:bottom w:w="0" w:type="dxa"/>
            <w:right w:w="108" w:type="dxa"/>
          </w:tblCellMar>
        </w:tblPrEx>
        <w:trPr>
          <w:trHeight w:val="300" w:hRule="atLeast"/>
        </w:trPr>
        <w:tc>
          <w:tcPr>
            <w:tcW w:w="222"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77"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669"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634"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64"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44"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43"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69" w:type="dxa"/>
            <w:tcBorders>
              <w:top w:val="nil"/>
              <w:left w:val="nil"/>
              <w:bottom w:val="nil"/>
              <w:right w:val="nil"/>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00" w:hRule="atLeast"/>
        </w:trPr>
        <w:tc>
          <w:tcPr>
            <w:tcW w:w="9900" w:type="dxa"/>
            <w:gridSpan w:val="10"/>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注：1.本表依据《政府性基金预算财政拨款收入支出决算表》（财决09表）进行批复。</w:t>
            </w:r>
          </w:p>
        </w:tc>
      </w:tr>
      <w:tr>
        <w:tblPrEx>
          <w:tblCellMar>
            <w:top w:w="0" w:type="dxa"/>
            <w:left w:w="108" w:type="dxa"/>
            <w:bottom w:w="0" w:type="dxa"/>
            <w:right w:w="108" w:type="dxa"/>
          </w:tblCellMar>
        </w:tblPrEx>
        <w:trPr>
          <w:trHeight w:val="300" w:hRule="atLeast"/>
        </w:trPr>
        <w:tc>
          <w:tcPr>
            <w:tcW w:w="9900" w:type="dxa"/>
            <w:gridSpan w:val="10"/>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2.本表以“万元”为金额单位（保留两位小数）。</w:t>
            </w:r>
          </w:p>
        </w:tc>
      </w:tr>
      <w:tr>
        <w:tblPrEx>
          <w:tblCellMar>
            <w:top w:w="0" w:type="dxa"/>
            <w:left w:w="108" w:type="dxa"/>
            <w:bottom w:w="0" w:type="dxa"/>
            <w:right w:w="108" w:type="dxa"/>
          </w:tblCellMar>
        </w:tblPrEx>
        <w:trPr>
          <w:trHeight w:val="300" w:hRule="atLeast"/>
        </w:trPr>
        <w:tc>
          <w:tcPr>
            <w:tcW w:w="9900" w:type="dxa"/>
            <w:gridSpan w:val="10"/>
            <w:tcBorders>
              <w:top w:val="nil"/>
              <w:left w:val="nil"/>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3、本表反映部门本年度政府性基金预算财政拨款收入支出及结转和结余情况。</w:t>
            </w:r>
          </w:p>
        </w:tc>
      </w:tr>
      <w:tr>
        <w:tblPrEx>
          <w:tblCellMar>
            <w:top w:w="0" w:type="dxa"/>
            <w:left w:w="108" w:type="dxa"/>
            <w:bottom w:w="0" w:type="dxa"/>
            <w:right w:w="108" w:type="dxa"/>
          </w:tblCellMar>
        </w:tblPrEx>
        <w:trPr>
          <w:trHeight w:val="405" w:hRule="atLeast"/>
        </w:trPr>
        <w:tc>
          <w:tcPr>
            <w:tcW w:w="316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 目</w:t>
            </w:r>
          </w:p>
        </w:tc>
        <w:tc>
          <w:tcPr>
            <w:tcW w:w="16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年初结转和结余</w:t>
            </w:r>
          </w:p>
        </w:tc>
        <w:tc>
          <w:tcPr>
            <w:tcW w:w="10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本年收入</w:t>
            </w:r>
          </w:p>
        </w:tc>
        <w:tc>
          <w:tcPr>
            <w:tcW w:w="2678"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本年支出</w:t>
            </w:r>
          </w:p>
        </w:tc>
        <w:tc>
          <w:tcPr>
            <w:tcW w:w="135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年末结转    和结余</w:t>
            </w:r>
          </w:p>
        </w:tc>
      </w:tr>
      <w:tr>
        <w:trPr>
          <w:trHeight w:val="540" w:hRule="atLeast"/>
        </w:trPr>
        <w:tc>
          <w:tcPr>
            <w:tcW w:w="149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功能分类科目编码</w:t>
            </w:r>
          </w:p>
        </w:tc>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科目名称</w:t>
            </w:r>
          </w:p>
        </w:tc>
        <w:tc>
          <w:tcPr>
            <w:tcW w:w="16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0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4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小计</w:t>
            </w:r>
          </w:p>
        </w:tc>
        <w:tc>
          <w:tcPr>
            <w:tcW w:w="10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基本支出  </w:t>
            </w:r>
          </w:p>
        </w:tc>
        <w:tc>
          <w:tcPr>
            <w:tcW w:w="991"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项目支出</w:t>
            </w:r>
          </w:p>
        </w:tc>
        <w:tc>
          <w:tcPr>
            <w:tcW w:w="13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r>
      <w:tr>
        <w:trPr>
          <w:trHeight w:val="360" w:hRule="atLeast"/>
        </w:trPr>
        <w:tc>
          <w:tcPr>
            <w:tcW w:w="14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6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0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0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99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3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r>
      <w:tr>
        <w:trPr>
          <w:trHeight w:val="450" w:hRule="atLeast"/>
        </w:trPr>
        <w:tc>
          <w:tcPr>
            <w:tcW w:w="14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6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0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0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99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3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r>
      <w:tr>
        <w:trPr>
          <w:trHeight w:val="450" w:hRule="atLeast"/>
        </w:trPr>
        <w:tc>
          <w:tcPr>
            <w:tcW w:w="316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栏次</w:t>
            </w:r>
          </w:p>
        </w:tc>
        <w:tc>
          <w:tcPr>
            <w:tcW w:w="16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0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6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99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13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w:t>
            </w:r>
          </w:p>
        </w:tc>
      </w:tr>
      <w:tr>
        <w:trPr>
          <w:trHeight w:val="450" w:hRule="atLeast"/>
        </w:trPr>
        <w:tc>
          <w:tcPr>
            <w:tcW w:w="316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合计</w:t>
            </w:r>
          </w:p>
        </w:tc>
        <w:tc>
          <w:tcPr>
            <w:tcW w:w="16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c>
          <w:tcPr>
            <w:tcW w:w="106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c>
          <w:tcPr>
            <w:tcW w:w="64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c>
          <w:tcPr>
            <w:tcW w:w="104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c>
          <w:tcPr>
            <w:tcW w:w="991"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c>
          <w:tcPr>
            <w:tcW w:w="135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r>
    </w:tbl>
    <w:p>
      <w:pPr>
        <w:jc w:val="left"/>
        <w:rPr>
          <w:rFonts w:cs="仿宋" w:asciiTheme="minorEastAsia" w:hAnsiTheme="minorEastAsia"/>
          <w:sz w:val="20"/>
          <w:szCs w:val="20"/>
        </w:rPr>
      </w:pPr>
    </w:p>
    <w:p>
      <w:pPr>
        <w:jc w:val="left"/>
        <w:rPr>
          <w:rFonts w:ascii="仿宋" w:hAnsi="仿宋" w:eastAsia="仿宋" w:cs="仿宋"/>
          <w:b/>
          <w:sz w:val="30"/>
          <w:szCs w:val="30"/>
        </w:rPr>
      </w:pPr>
      <w:r>
        <w:rPr>
          <w:rFonts w:hint="eastAsia" w:ascii="仿宋" w:hAnsi="仿宋" w:eastAsia="仿宋" w:cs="仿宋"/>
          <w:sz w:val="30"/>
          <w:szCs w:val="30"/>
        </w:rPr>
        <w:t>说明：</w:t>
      </w:r>
      <w:r>
        <w:rPr>
          <w:rFonts w:hint="eastAsia" w:ascii="仿宋" w:hAnsi="仿宋" w:eastAsia="仿宋" w:cs="宋体"/>
          <w:color w:val="000000"/>
          <w:kern w:val="0"/>
          <w:sz w:val="30"/>
          <w:szCs w:val="30"/>
        </w:rPr>
        <w:t>益阳市中心医院</w:t>
      </w:r>
      <w:r>
        <w:rPr>
          <w:rFonts w:hint="eastAsia" w:ascii="仿宋" w:hAnsi="仿宋" w:eastAsia="仿宋" w:cs="仿宋"/>
          <w:sz w:val="30"/>
          <w:szCs w:val="30"/>
        </w:rPr>
        <w:t>没有</w:t>
      </w:r>
      <w:r>
        <w:rPr>
          <w:rFonts w:ascii="仿宋" w:hAnsi="仿宋" w:eastAsia="仿宋" w:cs="仿宋"/>
          <w:sz w:val="30"/>
          <w:szCs w:val="30"/>
        </w:rPr>
        <w:t>政府性基金收入，也没有政府性基金安排的支出，故本表无数据。</w:t>
      </w:r>
    </w:p>
    <w:p>
      <w:pPr>
        <w:jc w:val="left"/>
        <w:rPr>
          <w:rFonts w:hint="eastAsia" w:ascii="仿宋" w:hAnsi="仿宋" w:eastAsia="仿宋" w:cs="仿宋"/>
          <w:sz w:val="32"/>
        </w:rPr>
      </w:pPr>
    </w:p>
    <w:p>
      <w:pPr>
        <w:jc w:val="left"/>
        <w:rPr>
          <w:rFonts w:ascii="仿宋" w:hAnsi="仿宋" w:eastAsia="仿宋" w:cs="仿宋"/>
          <w:sz w:val="32"/>
        </w:rPr>
      </w:pPr>
      <w:r>
        <w:rPr>
          <w:rFonts w:hint="eastAsia" w:ascii="仿宋" w:hAnsi="仿宋" w:eastAsia="仿宋" w:cs="仿宋"/>
          <w:sz w:val="32"/>
        </w:rPr>
        <w:t>说明：益阳市中心医院无政府性基金收入，无政府性基金安排的支出，也没有一般公共预算财政拨款“三公”经费支出的预算与支出，故表七、表八无数据。</w:t>
      </w: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jc w:val="center"/>
        <w:rPr>
          <w:rFonts w:cs="方正小标宋_GBK" w:asciiTheme="minorEastAsia" w:hAnsiTheme="minorEastAsia"/>
          <w:b/>
          <w:sz w:val="44"/>
        </w:rPr>
      </w:pPr>
      <w:r>
        <w:rPr>
          <w:rFonts w:cs="宋体" w:asciiTheme="minorEastAsia" w:hAnsiTheme="minorEastAsia"/>
          <w:b/>
          <w:sz w:val="44"/>
        </w:rPr>
        <w:t>第三部分</w:t>
      </w:r>
    </w:p>
    <w:p>
      <w:pPr>
        <w:jc w:val="center"/>
        <w:rPr>
          <w:rFonts w:cs="方正小标宋_GBK" w:asciiTheme="minorEastAsia" w:hAnsiTheme="minorEastAsia"/>
          <w:b/>
          <w:sz w:val="44"/>
        </w:rPr>
      </w:pPr>
      <w:r>
        <w:rPr>
          <w:rFonts w:hint="eastAsia" w:cs="方正小标宋_GBK" w:asciiTheme="minorEastAsia" w:hAnsiTheme="minorEastAsia"/>
          <w:b/>
          <w:sz w:val="44"/>
        </w:rPr>
        <w:t>益阳市</w:t>
      </w:r>
      <w:r>
        <w:rPr>
          <w:rFonts w:cs="方正小标宋_GBK" w:asciiTheme="minorEastAsia" w:hAnsiTheme="minorEastAsia"/>
          <w:b/>
          <w:sz w:val="44"/>
        </w:rPr>
        <w:t>中心医院201</w:t>
      </w:r>
      <w:r>
        <w:rPr>
          <w:rFonts w:hint="eastAsia" w:cs="方正小标宋_GBK" w:asciiTheme="minorEastAsia" w:hAnsiTheme="minorEastAsia"/>
          <w:b/>
          <w:sz w:val="44"/>
        </w:rPr>
        <w:t>9</w:t>
      </w:r>
      <w:r>
        <w:rPr>
          <w:rFonts w:cs="宋体" w:asciiTheme="minorEastAsia" w:hAnsiTheme="minorEastAsia"/>
          <w:b/>
          <w:sz w:val="44"/>
        </w:rPr>
        <w:t>年度部门决算情况说明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一、关于</w:t>
      </w:r>
      <w:r>
        <w:rPr>
          <w:rFonts w:hint="eastAsia" w:ascii="黑体" w:hAnsi="黑体" w:eastAsia="黑体" w:cs="黑体"/>
          <w:sz w:val="32"/>
        </w:rPr>
        <w:t>益阳市</w:t>
      </w:r>
      <w:r>
        <w:rPr>
          <w:rFonts w:ascii="黑体" w:hAnsi="黑体" w:eastAsia="黑体" w:cs="黑体"/>
          <w:sz w:val="32"/>
        </w:rPr>
        <w:t>中心医院 201</w:t>
      </w:r>
      <w:r>
        <w:rPr>
          <w:rFonts w:hint="eastAsia" w:ascii="黑体" w:hAnsi="黑体" w:eastAsia="黑体" w:cs="黑体"/>
          <w:sz w:val="32"/>
        </w:rPr>
        <w:t>9</w:t>
      </w:r>
      <w:r>
        <w:rPr>
          <w:rFonts w:ascii="黑体" w:hAnsi="黑体" w:eastAsia="黑体" w:cs="黑体"/>
          <w:sz w:val="32"/>
        </w:rPr>
        <w:t xml:space="preserve"> 年度收入支出决算总体情况说明</w:t>
      </w:r>
    </w:p>
    <w:p>
      <w:pPr>
        <w:ind w:firstLine="640"/>
        <w:jc w:val="left"/>
        <w:rPr>
          <w:rFonts w:ascii="仿宋" w:hAnsi="仿宋" w:eastAsia="仿宋" w:cs="仿宋"/>
          <w:sz w:val="32"/>
        </w:rPr>
      </w:pPr>
      <w:r>
        <w:rPr>
          <w:rFonts w:hint="eastAsia" w:ascii="仿宋" w:hAnsi="仿宋" w:eastAsia="仿宋" w:cs="仿宋"/>
          <w:sz w:val="32"/>
        </w:rPr>
        <w:t>益阳市</w:t>
      </w:r>
      <w:r>
        <w:rPr>
          <w:rFonts w:ascii="仿宋" w:hAnsi="仿宋" w:eastAsia="仿宋" w:cs="仿宋"/>
          <w:sz w:val="32"/>
        </w:rPr>
        <w:t>中心医院201</w:t>
      </w:r>
      <w:r>
        <w:rPr>
          <w:rFonts w:hint="eastAsia" w:ascii="仿宋" w:hAnsi="仿宋" w:eastAsia="仿宋" w:cs="仿宋"/>
          <w:sz w:val="32"/>
        </w:rPr>
        <w:t>9</w:t>
      </w:r>
      <w:r>
        <w:rPr>
          <w:rFonts w:ascii="仿宋" w:hAnsi="仿宋" w:eastAsia="仿宋" w:cs="仿宋"/>
          <w:sz w:val="32"/>
        </w:rPr>
        <w:t>年度收入总计</w:t>
      </w:r>
      <w:r>
        <w:rPr>
          <w:rFonts w:hint="eastAsia" w:ascii="仿宋" w:hAnsi="仿宋" w:eastAsia="仿宋" w:cs="仿宋"/>
          <w:sz w:val="32"/>
        </w:rPr>
        <w:t>126270.28</w:t>
      </w:r>
      <w:r>
        <w:rPr>
          <w:rFonts w:ascii="仿宋" w:hAnsi="仿宋" w:eastAsia="仿宋" w:cs="仿宋"/>
          <w:sz w:val="32"/>
        </w:rPr>
        <w:t>万元，比上年同期</w:t>
      </w:r>
      <w:r>
        <w:rPr>
          <w:rFonts w:hint="eastAsia" w:ascii="仿宋" w:hAnsi="仿宋" w:eastAsia="仿宋" w:cs="仿宋"/>
          <w:sz w:val="32"/>
        </w:rPr>
        <w:t>增加20695.03</w:t>
      </w:r>
      <w:r>
        <w:rPr>
          <w:rFonts w:ascii="仿宋" w:hAnsi="仿宋" w:eastAsia="仿宋" w:cs="仿宋"/>
          <w:sz w:val="32"/>
        </w:rPr>
        <w:t>万元，</w:t>
      </w:r>
      <w:r>
        <w:rPr>
          <w:rFonts w:hint="eastAsia" w:ascii="仿宋" w:hAnsi="仿宋" w:eastAsia="仿宋" w:cs="仿宋"/>
          <w:sz w:val="32"/>
        </w:rPr>
        <w:t>上升19.6</w:t>
      </w:r>
      <w:r>
        <w:rPr>
          <w:rFonts w:ascii="仿宋" w:hAnsi="仿宋" w:eastAsia="仿宋" w:cs="仿宋"/>
          <w:sz w:val="32"/>
        </w:rPr>
        <w:t>%；支出总计</w:t>
      </w:r>
      <w:r>
        <w:rPr>
          <w:rFonts w:hint="eastAsia" w:ascii="仿宋" w:hAnsi="仿宋" w:eastAsia="仿宋" w:cs="仿宋"/>
          <w:sz w:val="32"/>
        </w:rPr>
        <w:t>125295.21</w:t>
      </w:r>
      <w:r>
        <w:rPr>
          <w:rFonts w:ascii="仿宋" w:hAnsi="仿宋" w:eastAsia="仿宋" w:cs="仿宋"/>
          <w:sz w:val="32"/>
        </w:rPr>
        <w:t>万元，比上年同期</w:t>
      </w:r>
      <w:r>
        <w:rPr>
          <w:rFonts w:hint="eastAsia" w:ascii="仿宋" w:hAnsi="仿宋" w:eastAsia="仿宋" w:cs="仿宋"/>
          <w:sz w:val="32"/>
        </w:rPr>
        <w:t>增加20914.15</w:t>
      </w:r>
      <w:r>
        <w:rPr>
          <w:rFonts w:ascii="仿宋" w:hAnsi="仿宋" w:eastAsia="仿宋" w:cs="仿宋"/>
          <w:sz w:val="32"/>
        </w:rPr>
        <w:t>万元，</w:t>
      </w:r>
      <w:r>
        <w:rPr>
          <w:rFonts w:hint="eastAsia" w:ascii="仿宋" w:hAnsi="仿宋" w:eastAsia="仿宋" w:cs="仿宋"/>
          <w:sz w:val="32"/>
        </w:rPr>
        <w:t>上升20.04</w:t>
      </w:r>
      <w:r>
        <w:rPr>
          <w:rFonts w:ascii="仿宋" w:hAnsi="仿宋" w:eastAsia="仿宋" w:cs="仿宋"/>
          <w:sz w:val="32"/>
        </w:rPr>
        <w:t>%。</w:t>
      </w:r>
    </w:p>
    <w:p>
      <w:pPr>
        <w:ind w:firstLine="640"/>
        <w:jc w:val="left"/>
        <w:rPr>
          <w:rFonts w:ascii="仿宋" w:hAnsi="仿宋" w:eastAsia="仿宋" w:cs="仿宋"/>
          <w:sz w:val="32"/>
        </w:rPr>
      </w:pPr>
      <w:r>
        <w:rPr>
          <w:rFonts w:ascii="仿宋" w:hAnsi="仿宋" w:eastAsia="仿宋" w:cs="仿宋"/>
          <w:b/>
          <w:sz w:val="32"/>
        </w:rPr>
        <w:t>主要原因：</w:t>
      </w:r>
      <w:r>
        <w:rPr>
          <w:rFonts w:hint="eastAsia" w:ascii="仿宋" w:hAnsi="仿宋" w:eastAsia="仿宋" w:cs="仿宋"/>
          <w:b/>
          <w:sz w:val="32"/>
        </w:rPr>
        <w:t>2019年医疗收入增加，医疗支出也相应增加。</w:t>
      </w:r>
    </w:p>
    <w:p>
      <w:pPr>
        <w:ind w:left="720"/>
        <w:jc w:val="left"/>
        <w:rPr>
          <w:rFonts w:ascii="黑体" w:hAnsi="黑体" w:eastAsia="黑体" w:cs="黑体"/>
          <w:sz w:val="32"/>
        </w:rPr>
      </w:pPr>
    </w:p>
    <w:p>
      <w:pPr>
        <w:ind w:left="720"/>
        <w:jc w:val="left"/>
        <w:rPr>
          <w:rFonts w:ascii="黑体" w:hAnsi="黑体" w:eastAsia="黑体" w:cs="黑体"/>
          <w:sz w:val="32"/>
        </w:rPr>
      </w:pPr>
      <w:r>
        <w:rPr>
          <w:rFonts w:ascii="黑体" w:hAnsi="黑体" w:eastAsia="黑体" w:cs="黑体"/>
          <w:sz w:val="32"/>
        </w:rPr>
        <w:t>二、关于</w:t>
      </w:r>
      <w:r>
        <w:rPr>
          <w:rFonts w:hint="eastAsia" w:ascii="黑体" w:hAnsi="黑体" w:eastAsia="黑体" w:cs="黑体"/>
          <w:sz w:val="32"/>
        </w:rPr>
        <w:t>益阳市</w:t>
      </w:r>
      <w:r>
        <w:rPr>
          <w:rFonts w:ascii="黑体" w:hAnsi="黑体" w:eastAsia="黑体" w:cs="黑体"/>
          <w:sz w:val="32"/>
        </w:rPr>
        <w:t>中心医院201</w:t>
      </w:r>
      <w:r>
        <w:rPr>
          <w:rFonts w:hint="eastAsia" w:ascii="黑体" w:hAnsi="黑体" w:eastAsia="黑体" w:cs="黑体"/>
          <w:sz w:val="32"/>
        </w:rPr>
        <w:t>9</w:t>
      </w:r>
      <w:r>
        <w:rPr>
          <w:rFonts w:ascii="黑体" w:hAnsi="黑体" w:eastAsia="黑体" w:cs="黑体"/>
          <w:sz w:val="32"/>
        </w:rPr>
        <w:t xml:space="preserve"> 年度收入决算情况说明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年度收入合计 </w:t>
      </w:r>
      <w:r>
        <w:rPr>
          <w:rFonts w:hint="eastAsia" w:ascii="仿宋" w:hAnsi="仿宋" w:eastAsia="仿宋" w:cs="仿宋"/>
          <w:sz w:val="32"/>
        </w:rPr>
        <w:t>126270.28</w:t>
      </w:r>
      <w:r>
        <w:rPr>
          <w:rFonts w:ascii="仿宋" w:hAnsi="仿宋" w:eastAsia="仿宋" w:cs="仿宋"/>
          <w:sz w:val="32"/>
        </w:rPr>
        <w:t>万元，其中：财政拨款收入</w:t>
      </w:r>
      <w:r>
        <w:rPr>
          <w:rFonts w:hint="eastAsia" w:ascii="仿宋" w:hAnsi="仿宋" w:eastAsia="仿宋" w:cs="仿宋"/>
          <w:sz w:val="32"/>
        </w:rPr>
        <w:t>2315.91</w:t>
      </w:r>
      <w:r>
        <w:rPr>
          <w:rFonts w:ascii="仿宋" w:hAnsi="仿宋" w:eastAsia="仿宋" w:cs="仿宋"/>
          <w:sz w:val="32"/>
        </w:rPr>
        <w:t xml:space="preserve">万元，占 </w:t>
      </w:r>
      <w:r>
        <w:rPr>
          <w:rFonts w:hint="eastAsia" w:ascii="仿宋" w:hAnsi="仿宋" w:eastAsia="仿宋" w:cs="仿宋"/>
          <w:sz w:val="32"/>
        </w:rPr>
        <w:t>1.83</w:t>
      </w:r>
      <w:r>
        <w:rPr>
          <w:rFonts w:ascii="仿宋" w:hAnsi="仿宋" w:eastAsia="仿宋" w:cs="仿宋"/>
          <w:sz w:val="32"/>
        </w:rPr>
        <w:t>%；事业收入</w:t>
      </w:r>
      <w:r>
        <w:rPr>
          <w:rFonts w:hint="eastAsia" w:ascii="仿宋" w:hAnsi="仿宋" w:eastAsia="仿宋" w:cs="仿宋"/>
          <w:sz w:val="32"/>
        </w:rPr>
        <w:t>123232.37</w:t>
      </w:r>
      <w:r>
        <w:rPr>
          <w:rFonts w:ascii="仿宋" w:hAnsi="仿宋" w:eastAsia="仿宋" w:cs="仿宋"/>
          <w:sz w:val="32"/>
        </w:rPr>
        <w:t xml:space="preserve">万元，占 </w:t>
      </w:r>
      <w:r>
        <w:rPr>
          <w:rFonts w:hint="eastAsia" w:ascii="仿宋" w:hAnsi="仿宋" w:eastAsia="仿宋" w:cs="仿宋"/>
          <w:sz w:val="32"/>
        </w:rPr>
        <w:t>97.59</w:t>
      </w:r>
      <w:r>
        <w:rPr>
          <w:rFonts w:ascii="仿宋" w:hAnsi="仿宋" w:eastAsia="仿宋" w:cs="仿宋"/>
          <w:sz w:val="32"/>
        </w:rPr>
        <w:t>%；其他收入</w:t>
      </w:r>
      <w:r>
        <w:rPr>
          <w:rFonts w:hint="eastAsia" w:ascii="仿宋" w:hAnsi="仿宋" w:eastAsia="仿宋" w:cs="仿宋"/>
          <w:sz w:val="32"/>
        </w:rPr>
        <w:t>722</w:t>
      </w:r>
      <w:r>
        <w:rPr>
          <w:rFonts w:ascii="仿宋" w:hAnsi="仿宋" w:eastAsia="仿宋" w:cs="仿宋"/>
          <w:sz w:val="32"/>
        </w:rPr>
        <w:t>万元，占</w:t>
      </w:r>
      <w:r>
        <w:rPr>
          <w:rFonts w:hint="eastAsia" w:ascii="仿宋" w:hAnsi="仿宋" w:eastAsia="仿宋" w:cs="仿宋"/>
          <w:sz w:val="32"/>
        </w:rPr>
        <w:t>0.58</w:t>
      </w:r>
      <w:r>
        <w:rPr>
          <w:rFonts w:ascii="仿宋" w:hAnsi="仿宋" w:eastAsia="仿宋" w:cs="仿宋"/>
          <w:sz w:val="32"/>
        </w:rPr>
        <w:t>%</w:t>
      </w:r>
      <w:r>
        <w:rPr>
          <w:rFonts w:hint="eastAsia" w:ascii="仿宋" w:hAnsi="仿宋" w:eastAsia="仿宋" w:cs="仿宋"/>
          <w:sz w:val="32"/>
        </w:rPr>
        <w:t>。</w:t>
      </w:r>
    </w:p>
    <w:p>
      <w:pPr>
        <w:jc w:val="left"/>
        <w:rPr>
          <w:rFonts w:ascii="仿宋" w:hAnsi="仿宋" w:eastAsia="仿宋" w:cs="仿宋"/>
          <w:sz w:val="32"/>
        </w:rPr>
      </w:pPr>
      <w:r>
        <w:rPr>
          <w:rFonts w:ascii="仿宋" w:hAnsi="仿宋" w:eastAsia="仿宋" w:cs="仿宋"/>
          <w:sz w:val="32"/>
        </w:rPr>
        <w:drawing>
          <wp:inline distT="0" distB="0" distL="0" distR="0">
            <wp:extent cx="5898515" cy="2651760"/>
            <wp:effectExtent l="19050" t="0" r="25763"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left="720"/>
        <w:jc w:val="left"/>
        <w:rPr>
          <w:rFonts w:ascii="黑体" w:hAnsi="黑体" w:eastAsia="黑体" w:cs="黑体"/>
          <w:sz w:val="32"/>
        </w:rPr>
      </w:pPr>
    </w:p>
    <w:p>
      <w:pPr>
        <w:ind w:left="720"/>
        <w:jc w:val="left"/>
        <w:rPr>
          <w:rFonts w:ascii="黑体" w:hAnsi="黑体" w:eastAsia="黑体" w:cs="黑体"/>
          <w:sz w:val="32"/>
        </w:rPr>
      </w:pPr>
      <w:r>
        <w:rPr>
          <w:rFonts w:ascii="黑体" w:hAnsi="黑体" w:eastAsia="黑体" w:cs="黑体"/>
          <w:sz w:val="32"/>
        </w:rPr>
        <w:t>三、关于</w:t>
      </w:r>
      <w:r>
        <w:rPr>
          <w:rFonts w:hint="eastAsia" w:ascii="黑体" w:hAnsi="黑体" w:eastAsia="黑体" w:cs="黑体"/>
          <w:sz w:val="32"/>
        </w:rPr>
        <w:t>益阳市</w:t>
      </w:r>
      <w:r>
        <w:rPr>
          <w:rFonts w:ascii="黑体" w:hAnsi="黑体" w:eastAsia="黑体" w:cs="黑体"/>
          <w:sz w:val="32"/>
        </w:rPr>
        <w:t>中心医院201</w:t>
      </w:r>
      <w:r>
        <w:rPr>
          <w:rFonts w:hint="eastAsia" w:ascii="黑体" w:hAnsi="黑体" w:eastAsia="黑体" w:cs="黑体"/>
          <w:sz w:val="32"/>
        </w:rPr>
        <w:t>9</w:t>
      </w:r>
      <w:r>
        <w:rPr>
          <w:rFonts w:ascii="黑体" w:hAnsi="黑体" w:eastAsia="黑体" w:cs="黑体"/>
          <w:sz w:val="32"/>
        </w:rPr>
        <w:t>年度支出决算情况说明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年度支出合计</w:t>
      </w:r>
      <w:r>
        <w:rPr>
          <w:rFonts w:hint="eastAsia" w:ascii="仿宋" w:hAnsi="仿宋" w:eastAsia="仿宋" w:cs="仿宋"/>
          <w:sz w:val="32"/>
        </w:rPr>
        <w:t>125295.21</w:t>
      </w:r>
      <w:r>
        <w:rPr>
          <w:rFonts w:ascii="仿宋" w:hAnsi="仿宋" w:eastAsia="仿宋" w:cs="仿宋"/>
          <w:sz w:val="32"/>
        </w:rPr>
        <w:t>万元，其中：</w:t>
      </w:r>
      <w:r>
        <w:rPr>
          <w:rFonts w:hint="eastAsia" w:ascii="仿宋" w:hAnsi="仿宋" w:eastAsia="仿宋" w:cs="仿宋"/>
          <w:sz w:val="32"/>
        </w:rPr>
        <w:t>财政支出2315.91万元。</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四、关于</w:t>
      </w:r>
      <w:r>
        <w:rPr>
          <w:rFonts w:hint="eastAsia" w:ascii="黑体" w:hAnsi="黑体" w:eastAsia="黑体" w:cs="黑体"/>
          <w:sz w:val="32"/>
        </w:rPr>
        <w:t>益阳市</w:t>
      </w:r>
      <w:r>
        <w:rPr>
          <w:rFonts w:ascii="黑体" w:hAnsi="黑体" w:eastAsia="黑体" w:cs="黑体"/>
          <w:sz w:val="32"/>
        </w:rPr>
        <w:t>中心医院201</w:t>
      </w:r>
      <w:r>
        <w:rPr>
          <w:rFonts w:hint="eastAsia" w:ascii="黑体" w:hAnsi="黑体" w:eastAsia="黑体" w:cs="黑体"/>
          <w:sz w:val="32"/>
        </w:rPr>
        <w:t>9</w:t>
      </w:r>
      <w:r>
        <w:rPr>
          <w:rFonts w:ascii="黑体" w:hAnsi="黑体" w:eastAsia="黑体" w:cs="黑体"/>
          <w:sz w:val="32"/>
        </w:rPr>
        <w:t xml:space="preserve"> 年度财政拨款收入支出决算总体情况说明</w:t>
      </w:r>
    </w:p>
    <w:p>
      <w:pPr>
        <w:ind w:firstLine="640"/>
        <w:jc w:val="left"/>
        <w:rPr>
          <w:rFonts w:ascii="仿宋" w:hAnsi="仿宋" w:eastAsia="仿宋" w:cs="仿宋"/>
          <w:sz w:val="32"/>
        </w:rPr>
      </w:pPr>
      <w:r>
        <w:rPr>
          <w:rFonts w:ascii="仿宋" w:hAnsi="仿宋" w:eastAsia="仿宋" w:cs="仿宋"/>
          <w:sz w:val="32"/>
        </w:rPr>
        <w:t xml:space="preserve"> 201</w:t>
      </w:r>
      <w:r>
        <w:rPr>
          <w:rFonts w:hint="eastAsia" w:ascii="仿宋" w:hAnsi="仿宋" w:eastAsia="仿宋" w:cs="仿宋"/>
          <w:sz w:val="32"/>
        </w:rPr>
        <w:t>9</w:t>
      </w:r>
      <w:r>
        <w:rPr>
          <w:rFonts w:ascii="仿宋" w:hAnsi="仿宋" w:eastAsia="仿宋" w:cs="仿宋"/>
          <w:sz w:val="32"/>
        </w:rPr>
        <w:t xml:space="preserve"> 年度财政拨款收</w:t>
      </w:r>
      <w:r>
        <w:rPr>
          <w:rFonts w:hint="eastAsia" w:ascii="仿宋" w:hAnsi="仿宋" w:eastAsia="仿宋" w:cs="仿宋"/>
          <w:sz w:val="32"/>
        </w:rPr>
        <w:t>入</w:t>
      </w:r>
      <w:r>
        <w:rPr>
          <w:rFonts w:ascii="仿宋" w:hAnsi="仿宋" w:eastAsia="仿宋" w:cs="仿宋"/>
          <w:sz w:val="32"/>
        </w:rPr>
        <w:t>总计</w:t>
      </w:r>
      <w:r>
        <w:rPr>
          <w:rFonts w:hint="eastAsia" w:ascii="仿宋" w:hAnsi="仿宋" w:eastAsia="仿宋" w:cs="仿宋"/>
          <w:sz w:val="32"/>
        </w:rPr>
        <w:t>2315.91</w:t>
      </w:r>
      <w:r>
        <w:rPr>
          <w:rFonts w:ascii="仿宋" w:hAnsi="仿宋" w:eastAsia="仿宋" w:cs="仿宋"/>
          <w:sz w:val="32"/>
        </w:rPr>
        <w:t>万元，比上年同期的</w:t>
      </w:r>
      <w:r>
        <w:rPr>
          <w:rFonts w:hint="eastAsia" w:ascii="仿宋" w:hAnsi="仿宋" w:eastAsia="仿宋" w:cs="仿宋"/>
          <w:sz w:val="32"/>
        </w:rPr>
        <w:t>2079.28万元增加236.63</w:t>
      </w:r>
      <w:r>
        <w:rPr>
          <w:rFonts w:ascii="仿宋" w:hAnsi="仿宋" w:eastAsia="仿宋" w:cs="仿宋"/>
          <w:sz w:val="32"/>
        </w:rPr>
        <w:t>万元，</w:t>
      </w:r>
      <w:r>
        <w:rPr>
          <w:rFonts w:hint="eastAsia" w:ascii="仿宋" w:hAnsi="仿宋" w:eastAsia="仿宋" w:cs="仿宋"/>
          <w:sz w:val="32"/>
        </w:rPr>
        <w:t>上升11.38</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年度财政拨款</w:t>
      </w:r>
      <w:r>
        <w:rPr>
          <w:rFonts w:hint="eastAsia" w:ascii="仿宋" w:hAnsi="仿宋" w:eastAsia="仿宋" w:cs="仿宋"/>
          <w:sz w:val="32"/>
        </w:rPr>
        <w:t>支出</w:t>
      </w:r>
      <w:r>
        <w:rPr>
          <w:rFonts w:ascii="仿宋" w:hAnsi="仿宋" w:eastAsia="仿宋" w:cs="仿宋"/>
          <w:sz w:val="32"/>
        </w:rPr>
        <w:t>总计</w:t>
      </w:r>
      <w:r>
        <w:rPr>
          <w:rFonts w:hint="eastAsia" w:ascii="仿宋" w:hAnsi="仿宋" w:eastAsia="仿宋" w:cs="仿宋"/>
          <w:sz w:val="32"/>
        </w:rPr>
        <w:t>2315.91</w:t>
      </w:r>
      <w:r>
        <w:rPr>
          <w:rFonts w:ascii="仿宋" w:hAnsi="仿宋" w:eastAsia="仿宋" w:cs="仿宋"/>
          <w:sz w:val="32"/>
        </w:rPr>
        <w:t>万元，比上年同期的</w:t>
      </w:r>
      <w:r>
        <w:rPr>
          <w:rFonts w:hint="eastAsia" w:ascii="仿宋" w:hAnsi="仿宋" w:eastAsia="仿宋" w:cs="仿宋"/>
          <w:sz w:val="32"/>
        </w:rPr>
        <w:t>2079.28万元</w:t>
      </w:r>
      <w:r>
        <w:rPr>
          <w:rFonts w:ascii="仿宋" w:hAnsi="仿宋" w:eastAsia="仿宋" w:cs="仿宋"/>
          <w:sz w:val="32"/>
        </w:rPr>
        <w:t>减少</w:t>
      </w:r>
      <w:r>
        <w:rPr>
          <w:rFonts w:hint="eastAsia" w:ascii="仿宋" w:hAnsi="仿宋" w:eastAsia="仿宋" w:cs="仿宋"/>
          <w:sz w:val="32"/>
        </w:rPr>
        <w:t>236.63</w:t>
      </w:r>
      <w:r>
        <w:rPr>
          <w:rFonts w:ascii="仿宋" w:hAnsi="仿宋" w:eastAsia="仿宋" w:cs="仿宋"/>
          <w:sz w:val="32"/>
        </w:rPr>
        <w:t>万元，下降</w:t>
      </w:r>
      <w:r>
        <w:rPr>
          <w:rFonts w:hint="eastAsia" w:ascii="仿宋" w:hAnsi="仿宋" w:eastAsia="仿宋" w:cs="仿宋"/>
          <w:sz w:val="32"/>
        </w:rPr>
        <w:t>11.38</w:t>
      </w:r>
      <w:r>
        <w:rPr>
          <w:rFonts w:ascii="仿宋" w:hAnsi="仿宋" w:eastAsia="仿宋" w:cs="仿宋"/>
          <w:sz w:val="32"/>
        </w:rPr>
        <w:t>%。</w:t>
      </w:r>
    </w:p>
    <w:p>
      <w:pPr>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五、关于</w:t>
      </w:r>
      <w:r>
        <w:rPr>
          <w:rFonts w:hint="eastAsia" w:ascii="黑体" w:hAnsi="黑体" w:eastAsia="黑体" w:cs="黑体"/>
          <w:sz w:val="32"/>
        </w:rPr>
        <w:t>益阳市</w:t>
      </w:r>
      <w:r>
        <w:rPr>
          <w:rFonts w:ascii="黑体" w:hAnsi="黑体" w:eastAsia="黑体" w:cs="黑体"/>
          <w:sz w:val="32"/>
        </w:rPr>
        <w:t>中心医院201</w:t>
      </w:r>
      <w:r>
        <w:rPr>
          <w:rFonts w:hint="eastAsia" w:ascii="黑体" w:hAnsi="黑体" w:eastAsia="黑体" w:cs="黑体"/>
          <w:sz w:val="32"/>
        </w:rPr>
        <w:t>9</w:t>
      </w:r>
      <w:r>
        <w:rPr>
          <w:rFonts w:ascii="黑体" w:hAnsi="黑体" w:eastAsia="黑体" w:cs="黑体"/>
          <w:sz w:val="32"/>
        </w:rPr>
        <w:t xml:space="preserve"> 年度一般公共预算财政拨款支出决算情况说明</w:t>
      </w:r>
    </w:p>
    <w:p>
      <w:pPr>
        <w:ind w:firstLine="320"/>
        <w:jc w:val="left"/>
        <w:rPr>
          <w:rFonts w:ascii="仿宋" w:hAnsi="仿宋" w:eastAsia="仿宋" w:cs="楷体"/>
          <w:sz w:val="32"/>
        </w:rPr>
      </w:pPr>
      <w:r>
        <w:rPr>
          <w:rFonts w:ascii="仿宋" w:hAnsi="仿宋" w:eastAsia="仿宋" w:cs="楷体"/>
          <w:sz w:val="32"/>
        </w:rPr>
        <w:t>（一）一般公共预算财政拨款收入支出决算总体情况。</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年度一般公共预算财政拨款收入总计</w:t>
      </w:r>
      <w:r>
        <w:rPr>
          <w:rFonts w:hint="eastAsia" w:ascii="仿宋" w:hAnsi="仿宋" w:eastAsia="仿宋" w:cs="仿宋"/>
          <w:sz w:val="32"/>
        </w:rPr>
        <w:t>2315.91</w:t>
      </w:r>
      <w:r>
        <w:rPr>
          <w:rFonts w:ascii="仿宋" w:hAnsi="仿宋" w:eastAsia="仿宋" w:cs="仿宋"/>
          <w:sz w:val="32"/>
        </w:rPr>
        <w:t>万元，比上年的</w:t>
      </w:r>
      <w:r>
        <w:rPr>
          <w:rFonts w:hint="eastAsia" w:ascii="仿宋" w:hAnsi="仿宋" w:eastAsia="仿宋" w:cs="仿宋"/>
          <w:sz w:val="32"/>
        </w:rPr>
        <w:t>2079.28万元增加355.20</w:t>
      </w:r>
      <w:r>
        <w:rPr>
          <w:rFonts w:ascii="仿宋" w:hAnsi="仿宋" w:eastAsia="仿宋" w:cs="仿宋"/>
          <w:sz w:val="32"/>
        </w:rPr>
        <w:t>万元，</w:t>
      </w:r>
      <w:r>
        <w:rPr>
          <w:rFonts w:hint="eastAsia" w:ascii="仿宋" w:hAnsi="仿宋" w:eastAsia="仿宋" w:cs="仿宋"/>
          <w:sz w:val="32"/>
        </w:rPr>
        <w:t>上涨11.38</w:t>
      </w:r>
      <w:r>
        <w:rPr>
          <w:rFonts w:ascii="仿宋" w:hAnsi="仿宋" w:eastAsia="仿宋" w:cs="仿宋"/>
          <w:sz w:val="32"/>
        </w:rPr>
        <w:t>%</w:t>
      </w:r>
      <w:r>
        <w:rPr>
          <w:rFonts w:hint="eastAsia" w:ascii="仿宋" w:hAnsi="仿宋" w:eastAsia="仿宋" w:cs="仿宋"/>
          <w:sz w:val="32"/>
        </w:rPr>
        <w:t>。</w:t>
      </w:r>
      <w:r>
        <w:rPr>
          <w:rFonts w:ascii="仿宋" w:hAnsi="仿宋" w:eastAsia="仿宋" w:cs="仿宋"/>
          <w:sz w:val="32"/>
        </w:rPr>
        <w:t>主要原因：</w:t>
      </w:r>
      <w:r>
        <w:rPr>
          <w:rFonts w:hint="eastAsia" w:ascii="仿宋" w:hAnsi="仿宋" w:eastAsia="仿宋" w:cs="仿宋"/>
          <w:sz w:val="32"/>
        </w:rPr>
        <w:t>公立医院改革资金较上年度增加。</w:t>
      </w:r>
    </w:p>
    <w:p>
      <w:pPr>
        <w:ind w:firstLine="320"/>
        <w:jc w:val="left"/>
        <w:rPr>
          <w:rFonts w:ascii="仿宋" w:hAnsi="仿宋" w:eastAsia="仿宋" w:cs="仿宋"/>
          <w:sz w:val="32"/>
        </w:rPr>
      </w:pPr>
      <w:r>
        <w:rPr>
          <w:rFonts w:ascii="仿宋" w:hAnsi="仿宋" w:eastAsia="仿宋" w:cs="仿宋"/>
          <w:sz w:val="32"/>
        </w:rPr>
        <w:t>一般公共预算财政拨款</w:t>
      </w:r>
      <w:r>
        <w:rPr>
          <w:rFonts w:hint="eastAsia" w:ascii="仿宋" w:hAnsi="仿宋" w:eastAsia="仿宋" w:cs="仿宋"/>
          <w:sz w:val="32"/>
        </w:rPr>
        <w:t>支出</w:t>
      </w:r>
      <w:r>
        <w:rPr>
          <w:rFonts w:ascii="仿宋" w:hAnsi="仿宋" w:eastAsia="仿宋" w:cs="仿宋"/>
          <w:sz w:val="32"/>
        </w:rPr>
        <w:t>总计</w:t>
      </w:r>
      <w:r>
        <w:rPr>
          <w:rFonts w:hint="eastAsia" w:ascii="仿宋" w:hAnsi="仿宋" w:eastAsia="仿宋" w:cs="仿宋"/>
          <w:sz w:val="32"/>
        </w:rPr>
        <w:t>2315.91</w:t>
      </w:r>
      <w:r>
        <w:rPr>
          <w:rFonts w:ascii="仿宋" w:hAnsi="仿宋" w:eastAsia="仿宋" w:cs="仿宋"/>
          <w:sz w:val="32"/>
        </w:rPr>
        <w:t>万元，比上年的</w:t>
      </w:r>
      <w:r>
        <w:rPr>
          <w:rFonts w:hint="eastAsia" w:ascii="仿宋" w:hAnsi="仿宋" w:eastAsia="仿宋" w:cs="仿宋"/>
          <w:sz w:val="32"/>
        </w:rPr>
        <w:t>2079.28万元增加355.20</w:t>
      </w:r>
      <w:r>
        <w:rPr>
          <w:rFonts w:ascii="仿宋" w:hAnsi="仿宋" w:eastAsia="仿宋" w:cs="仿宋"/>
          <w:sz w:val="32"/>
        </w:rPr>
        <w:t>万元，</w:t>
      </w:r>
      <w:r>
        <w:rPr>
          <w:rFonts w:hint="eastAsia" w:ascii="仿宋" w:hAnsi="仿宋" w:eastAsia="仿宋" w:cs="仿宋"/>
          <w:sz w:val="32"/>
        </w:rPr>
        <w:t>上涨11.38</w:t>
      </w:r>
      <w:r>
        <w:rPr>
          <w:rFonts w:ascii="仿宋" w:hAnsi="仿宋" w:eastAsia="仿宋" w:cs="仿宋"/>
          <w:sz w:val="32"/>
        </w:rPr>
        <w:t>%</w:t>
      </w:r>
      <w:r>
        <w:rPr>
          <w:rFonts w:hint="eastAsia" w:ascii="仿宋" w:hAnsi="仿宋" w:eastAsia="仿宋" w:cs="仿宋"/>
          <w:sz w:val="32"/>
        </w:rPr>
        <w:t>。</w:t>
      </w:r>
    </w:p>
    <w:p>
      <w:pPr>
        <w:ind w:firstLine="320"/>
        <w:jc w:val="left"/>
        <w:rPr>
          <w:rFonts w:ascii="仿宋" w:hAnsi="仿宋" w:eastAsia="仿宋" w:cs="楷体"/>
          <w:sz w:val="32"/>
        </w:rPr>
      </w:pPr>
      <w:r>
        <w:rPr>
          <w:rFonts w:ascii="仿宋" w:hAnsi="仿宋" w:eastAsia="仿宋" w:cs="楷体"/>
          <w:sz w:val="32"/>
        </w:rPr>
        <w:t>（二）一般公共预算财政拨款支出决算构成情况。</w:t>
      </w:r>
    </w:p>
    <w:p>
      <w:pPr>
        <w:ind w:firstLine="480" w:firstLineChars="150"/>
        <w:jc w:val="left"/>
        <w:rPr>
          <w:rFonts w:ascii="仿宋" w:hAnsi="仿宋" w:eastAsia="仿宋" w:cs="楷体"/>
          <w:sz w:val="32"/>
        </w:rPr>
      </w:pPr>
      <w:r>
        <w:rPr>
          <w:rFonts w:hint="eastAsia" w:ascii="仿宋" w:hAnsi="仿宋" w:eastAsia="仿宋" w:cs="楷体"/>
          <w:sz w:val="32"/>
        </w:rPr>
        <w:t>2019 年度财政拨款支出</w:t>
      </w:r>
      <w:r>
        <w:rPr>
          <w:rFonts w:hint="eastAsia" w:ascii="仿宋" w:hAnsi="仿宋" w:eastAsia="仿宋" w:cs="仿宋"/>
          <w:sz w:val="32"/>
        </w:rPr>
        <w:t>2315.91</w:t>
      </w:r>
      <w:r>
        <w:rPr>
          <w:rFonts w:hint="eastAsia" w:ascii="仿宋" w:hAnsi="仿宋" w:eastAsia="仿宋" w:cs="楷体"/>
          <w:sz w:val="32"/>
        </w:rPr>
        <w:t>万元，主要用于以下方面： 教育（类）支出</w:t>
      </w:r>
      <w:r>
        <w:rPr>
          <w:rFonts w:hint="eastAsia" w:ascii="仿宋" w:hAnsi="仿宋" w:eastAsia="仿宋" w:cs="仿宋"/>
          <w:sz w:val="32"/>
        </w:rPr>
        <w:t>32.71</w:t>
      </w:r>
      <w:r>
        <w:rPr>
          <w:rFonts w:hint="eastAsia" w:ascii="仿宋" w:hAnsi="仿宋" w:eastAsia="仿宋" w:cs="楷体"/>
          <w:sz w:val="32"/>
        </w:rPr>
        <w:t xml:space="preserve">万元，占 </w:t>
      </w:r>
      <w:r>
        <w:rPr>
          <w:rFonts w:hint="eastAsia" w:ascii="仿宋" w:hAnsi="仿宋" w:eastAsia="仿宋" w:cs="仿宋"/>
          <w:sz w:val="32"/>
        </w:rPr>
        <w:t>1.41</w:t>
      </w:r>
      <w:r>
        <w:rPr>
          <w:rFonts w:hint="eastAsia" w:ascii="仿宋" w:hAnsi="仿宋" w:eastAsia="仿宋" w:cs="楷体"/>
          <w:sz w:val="32"/>
        </w:rPr>
        <w:t>%；科学技术支出66万元，占2.85%； 社会保障和就业（类）支出</w:t>
      </w:r>
      <w:r>
        <w:rPr>
          <w:rFonts w:hint="eastAsia" w:ascii="仿宋" w:hAnsi="仿宋" w:eastAsia="仿宋" w:cs="仿宋"/>
          <w:sz w:val="32"/>
        </w:rPr>
        <w:t>33.99</w:t>
      </w:r>
      <w:r>
        <w:rPr>
          <w:rFonts w:hint="eastAsia" w:ascii="仿宋" w:hAnsi="仿宋" w:eastAsia="仿宋" w:cs="楷体"/>
          <w:sz w:val="32"/>
        </w:rPr>
        <w:t>万元，占</w:t>
      </w:r>
      <w:r>
        <w:rPr>
          <w:rFonts w:hint="eastAsia" w:ascii="仿宋" w:hAnsi="仿宋" w:eastAsia="仿宋" w:cs="仿宋"/>
          <w:sz w:val="32"/>
        </w:rPr>
        <w:t>1.47</w:t>
      </w:r>
      <w:r>
        <w:rPr>
          <w:rFonts w:hint="eastAsia" w:ascii="仿宋" w:hAnsi="仿宋" w:eastAsia="仿宋" w:cs="楷体"/>
          <w:sz w:val="32"/>
        </w:rPr>
        <w:t>%； 卫生健康（类）支出</w:t>
      </w:r>
      <w:r>
        <w:rPr>
          <w:rFonts w:hint="eastAsia" w:ascii="仿宋" w:hAnsi="仿宋" w:eastAsia="仿宋" w:cs="仿宋"/>
          <w:sz w:val="32"/>
        </w:rPr>
        <w:t>2183.21</w:t>
      </w:r>
      <w:r>
        <w:rPr>
          <w:rFonts w:hint="eastAsia" w:ascii="仿宋" w:hAnsi="仿宋" w:eastAsia="仿宋" w:cs="楷体"/>
          <w:sz w:val="32"/>
        </w:rPr>
        <w:t>，占</w:t>
      </w:r>
      <w:r>
        <w:rPr>
          <w:rFonts w:hint="eastAsia" w:ascii="仿宋" w:hAnsi="仿宋" w:eastAsia="仿宋" w:cs="仿宋"/>
          <w:sz w:val="32"/>
        </w:rPr>
        <w:t>94.27</w:t>
      </w:r>
      <w:r>
        <w:rPr>
          <w:rFonts w:hint="eastAsia" w:ascii="仿宋" w:hAnsi="仿宋" w:eastAsia="仿宋" w:cs="楷体"/>
          <w:sz w:val="32"/>
        </w:rPr>
        <w:t>%。</w:t>
      </w:r>
    </w:p>
    <w:p>
      <w:pPr>
        <w:jc w:val="left"/>
        <w:rPr>
          <w:rFonts w:ascii="仿宋" w:hAnsi="仿宋" w:eastAsia="仿宋" w:cs="楷体"/>
          <w:sz w:val="32"/>
        </w:rPr>
      </w:pPr>
      <w:r>
        <w:rPr>
          <w:rFonts w:ascii="仿宋" w:hAnsi="仿宋" w:eastAsia="仿宋" w:cs="楷体"/>
          <w:sz w:val="32"/>
        </w:rPr>
        <w:t>（三）一般公共预算财政拨款支出决算情况。</w:t>
      </w:r>
    </w:p>
    <w:p>
      <w:pPr>
        <w:ind w:firstLine="480" w:firstLineChars="150"/>
        <w:jc w:val="left"/>
        <w:rPr>
          <w:rFonts w:ascii="仿宋" w:hAnsi="仿宋" w:eastAsia="仿宋" w:cs="仿宋"/>
          <w:b/>
          <w:sz w:val="32"/>
        </w:rPr>
      </w:pPr>
      <w:r>
        <w:rPr>
          <w:rFonts w:hint="eastAsia" w:ascii="仿宋" w:hAnsi="仿宋" w:eastAsia="仿宋" w:cs="楷体"/>
          <w:sz w:val="32"/>
        </w:rPr>
        <w:t xml:space="preserve">2019 年度财政拨款支出年初预算为 </w:t>
      </w:r>
      <w:r>
        <w:rPr>
          <w:rFonts w:hint="eastAsia" w:ascii="仿宋" w:hAnsi="仿宋" w:eastAsia="仿宋" w:cs="仿宋"/>
          <w:sz w:val="32"/>
        </w:rPr>
        <w:t>669.05</w:t>
      </w:r>
      <w:r>
        <w:rPr>
          <w:rFonts w:hint="eastAsia" w:ascii="仿宋" w:hAnsi="仿宋" w:eastAsia="仿宋" w:cs="楷体"/>
          <w:sz w:val="32"/>
        </w:rPr>
        <w:t xml:space="preserve"> 万元，支出决算为</w:t>
      </w:r>
      <w:r>
        <w:rPr>
          <w:rFonts w:hint="eastAsia" w:ascii="仿宋" w:hAnsi="仿宋" w:eastAsia="仿宋" w:cs="仿宋"/>
          <w:sz w:val="32"/>
        </w:rPr>
        <w:t>2315.91</w:t>
      </w:r>
      <w:r>
        <w:rPr>
          <w:rFonts w:hint="eastAsia" w:ascii="仿宋" w:hAnsi="仿宋" w:eastAsia="仿宋" w:cs="楷体"/>
          <w:sz w:val="32"/>
        </w:rPr>
        <w:t>万元，完成年初预算的</w:t>
      </w:r>
      <w:r>
        <w:rPr>
          <w:rFonts w:hint="eastAsia" w:ascii="仿宋" w:hAnsi="仿宋" w:eastAsia="仿宋" w:cs="仿宋"/>
          <w:sz w:val="32"/>
        </w:rPr>
        <w:t>346.15</w:t>
      </w:r>
      <w:r>
        <w:rPr>
          <w:rFonts w:hint="eastAsia" w:ascii="仿宋" w:hAnsi="仿宋" w:eastAsia="仿宋" w:cs="楷体"/>
          <w:sz w:val="32"/>
        </w:rPr>
        <w:t>%。</w:t>
      </w:r>
    </w:p>
    <w:p>
      <w:pPr>
        <w:ind w:firstLine="640"/>
        <w:jc w:val="left"/>
        <w:rPr>
          <w:rFonts w:ascii="黑体" w:hAnsi="黑体" w:eastAsia="黑体" w:cs="黑体"/>
          <w:sz w:val="32"/>
        </w:rPr>
      </w:pPr>
      <w:r>
        <w:rPr>
          <w:rFonts w:ascii="黑体" w:hAnsi="黑体" w:eastAsia="黑体" w:cs="黑体"/>
          <w:sz w:val="32"/>
        </w:rPr>
        <w:t>六、关于</w:t>
      </w:r>
      <w:r>
        <w:rPr>
          <w:rFonts w:hint="eastAsia" w:ascii="黑体" w:hAnsi="黑体" w:eastAsia="黑体" w:cs="黑体"/>
          <w:sz w:val="32"/>
        </w:rPr>
        <w:t>益阳市</w:t>
      </w:r>
      <w:r>
        <w:rPr>
          <w:rFonts w:ascii="黑体" w:hAnsi="黑体" w:eastAsia="黑体" w:cs="黑体"/>
          <w:sz w:val="32"/>
        </w:rPr>
        <w:t>中心医院201</w:t>
      </w:r>
      <w:r>
        <w:rPr>
          <w:rFonts w:hint="eastAsia" w:ascii="黑体" w:hAnsi="黑体" w:eastAsia="黑体" w:cs="黑体"/>
          <w:sz w:val="32"/>
        </w:rPr>
        <w:t>9</w:t>
      </w:r>
      <w:r>
        <w:rPr>
          <w:rFonts w:ascii="黑体" w:hAnsi="黑体" w:eastAsia="黑体" w:cs="黑体"/>
          <w:sz w:val="32"/>
        </w:rPr>
        <w:t xml:space="preserve"> 年度一般公共预算财政拨款基本支出决算情况说明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年度一般公共预算财政拨款基本支出</w:t>
      </w:r>
      <w:r>
        <w:rPr>
          <w:rFonts w:hint="eastAsia" w:ascii="仿宋" w:hAnsi="仿宋" w:eastAsia="仿宋" w:cs="仿宋"/>
          <w:sz w:val="32"/>
        </w:rPr>
        <w:t>619.05</w:t>
      </w:r>
      <w:r>
        <w:rPr>
          <w:rFonts w:ascii="仿宋" w:hAnsi="仿宋" w:eastAsia="仿宋" w:cs="仿宋"/>
          <w:sz w:val="32"/>
        </w:rPr>
        <w:t>万元，其中人员经费支出</w:t>
      </w:r>
      <w:r>
        <w:rPr>
          <w:rFonts w:hint="eastAsia" w:ascii="仿宋" w:hAnsi="仿宋" w:eastAsia="仿宋" w:cs="仿宋"/>
          <w:sz w:val="32"/>
        </w:rPr>
        <w:t>619.05</w:t>
      </w:r>
      <w:r>
        <w:rPr>
          <w:rFonts w:ascii="仿宋" w:hAnsi="仿宋" w:eastAsia="仿宋" w:cs="仿宋"/>
          <w:sz w:val="32"/>
        </w:rPr>
        <w:t>万元，主要包括：</w:t>
      </w:r>
      <w:r>
        <w:rPr>
          <w:rFonts w:hint="eastAsia" w:ascii="仿宋" w:hAnsi="仿宋" w:eastAsia="仿宋" w:cs="仿宋"/>
          <w:sz w:val="32"/>
        </w:rPr>
        <w:t>机关事业单位基本养老保险缴费</w:t>
      </w:r>
      <w:r>
        <w:rPr>
          <w:rFonts w:ascii="仿宋" w:hAnsi="仿宋" w:eastAsia="仿宋" w:cs="仿宋"/>
          <w:sz w:val="32"/>
        </w:rPr>
        <w:t>、</w:t>
      </w:r>
      <w:r>
        <w:rPr>
          <w:rFonts w:hint="eastAsia" w:ascii="仿宋" w:hAnsi="仿宋" w:eastAsia="仿宋" w:cs="仿宋"/>
          <w:sz w:val="32"/>
        </w:rPr>
        <w:t>生活</w:t>
      </w:r>
      <w:r>
        <w:rPr>
          <w:rFonts w:ascii="仿宋" w:hAnsi="仿宋" w:eastAsia="仿宋" w:cs="仿宋"/>
          <w:sz w:val="32"/>
        </w:rPr>
        <w:t>补助</w:t>
      </w:r>
      <w:r>
        <w:rPr>
          <w:rFonts w:hint="eastAsia" w:ascii="仿宋" w:hAnsi="仿宋" w:eastAsia="仿宋" w:cs="仿宋"/>
          <w:sz w:val="32"/>
        </w:rPr>
        <w:t>、退休费、抚恤金</w:t>
      </w:r>
      <w:r>
        <w:rPr>
          <w:rFonts w:ascii="仿宋" w:hAnsi="仿宋" w:eastAsia="仿宋" w:cs="仿宋"/>
          <w:sz w:val="32"/>
        </w:rPr>
        <w:t>。</w:t>
      </w:r>
    </w:p>
    <w:p>
      <w:pPr>
        <w:ind w:firstLine="640"/>
        <w:jc w:val="left"/>
        <w:rPr>
          <w:rFonts w:ascii="黑体" w:hAnsi="黑体" w:eastAsia="黑体" w:cs="黑体"/>
          <w:sz w:val="32"/>
        </w:rPr>
      </w:pPr>
      <w:r>
        <w:rPr>
          <w:rFonts w:ascii="黑体" w:hAnsi="黑体" w:eastAsia="黑体" w:cs="黑体"/>
          <w:sz w:val="32"/>
        </w:rPr>
        <w:t>七、关于</w:t>
      </w:r>
      <w:r>
        <w:rPr>
          <w:rFonts w:hint="eastAsia" w:ascii="黑体" w:hAnsi="黑体" w:eastAsia="黑体" w:cs="黑体"/>
          <w:sz w:val="32"/>
        </w:rPr>
        <w:t>益阳市</w:t>
      </w:r>
      <w:r>
        <w:rPr>
          <w:rFonts w:ascii="黑体" w:hAnsi="黑体" w:eastAsia="黑体" w:cs="黑体"/>
          <w:sz w:val="32"/>
        </w:rPr>
        <w:t>中心医院201</w:t>
      </w:r>
      <w:r>
        <w:rPr>
          <w:rFonts w:hint="eastAsia" w:ascii="黑体" w:hAnsi="黑体" w:eastAsia="黑体" w:cs="黑体"/>
          <w:sz w:val="32"/>
        </w:rPr>
        <w:t>9</w:t>
      </w:r>
      <w:r>
        <w:rPr>
          <w:rFonts w:ascii="黑体" w:hAnsi="黑体" w:eastAsia="黑体" w:cs="黑体"/>
          <w:sz w:val="32"/>
        </w:rPr>
        <w:t>年度政府性基金预算财政拨款支出决算情况说明</w:t>
      </w:r>
    </w:p>
    <w:p>
      <w:pPr>
        <w:ind w:firstLine="640"/>
        <w:jc w:val="left"/>
        <w:rPr>
          <w:rFonts w:ascii="仿宋" w:hAnsi="仿宋" w:eastAsia="仿宋" w:cs="楷体"/>
          <w:sz w:val="32"/>
        </w:rPr>
      </w:pPr>
      <w:r>
        <w:rPr>
          <w:rFonts w:hint="eastAsia" w:ascii="仿宋" w:hAnsi="仿宋" w:eastAsia="仿宋" w:cs="楷体"/>
          <w:sz w:val="32"/>
        </w:rPr>
        <w:t>益阳市中心医院系非营利性公立三级甲等医院，是实行差额核算的单位，没有政府性基金预算财政拨款收入支出。</w:t>
      </w:r>
    </w:p>
    <w:p>
      <w:pPr>
        <w:ind w:firstLine="640"/>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八、关于</w:t>
      </w:r>
      <w:r>
        <w:rPr>
          <w:rFonts w:hint="eastAsia" w:ascii="黑体" w:hAnsi="黑体" w:eastAsia="黑体" w:cs="黑体"/>
          <w:sz w:val="32"/>
        </w:rPr>
        <w:t>益阳市</w:t>
      </w:r>
      <w:r>
        <w:rPr>
          <w:rFonts w:ascii="黑体" w:hAnsi="黑体" w:eastAsia="黑体" w:cs="黑体"/>
          <w:sz w:val="32"/>
        </w:rPr>
        <w:t>中心医院201</w:t>
      </w:r>
      <w:r>
        <w:rPr>
          <w:rFonts w:hint="eastAsia" w:ascii="黑体" w:hAnsi="黑体" w:eastAsia="黑体" w:cs="黑体"/>
          <w:sz w:val="32"/>
        </w:rPr>
        <w:t>9</w:t>
      </w:r>
      <w:r>
        <w:rPr>
          <w:rFonts w:ascii="黑体" w:hAnsi="黑体" w:eastAsia="黑体" w:cs="黑体"/>
          <w:sz w:val="32"/>
        </w:rPr>
        <w:t xml:space="preserve"> 年度一般公共预算财政拨款“三公”经费支出决算情况说明</w:t>
      </w:r>
    </w:p>
    <w:p>
      <w:pPr>
        <w:ind w:firstLine="640" w:firstLineChars="200"/>
        <w:rPr>
          <w:rFonts w:ascii="仿宋" w:hAnsi="仿宋" w:eastAsia="仿宋"/>
          <w:sz w:val="32"/>
          <w:szCs w:val="32"/>
        </w:rPr>
      </w:pPr>
      <w:r>
        <w:rPr>
          <w:rFonts w:hint="eastAsia" w:ascii="仿宋" w:hAnsi="仿宋" w:eastAsia="仿宋" w:cs="楷体"/>
          <w:sz w:val="32"/>
        </w:rPr>
        <w:t>益阳市中心医院</w:t>
      </w:r>
      <w:r>
        <w:rPr>
          <w:rFonts w:hint="eastAsia" w:ascii="仿宋" w:hAnsi="仿宋" w:eastAsia="仿宋"/>
          <w:sz w:val="32"/>
          <w:szCs w:val="32"/>
        </w:rPr>
        <w:t>没有三公经费支出。</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 2019 年度预算绩效情况说明</w:t>
      </w:r>
    </w:p>
    <w:p>
      <w:pPr>
        <w:ind w:firstLine="640"/>
        <w:jc w:val="left"/>
        <w:rPr>
          <w:rFonts w:ascii="仿宋" w:hAnsi="仿宋" w:eastAsia="仿宋" w:cs="仿宋"/>
          <w:sz w:val="32"/>
        </w:rPr>
      </w:pPr>
      <w:r>
        <w:rPr>
          <w:rFonts w:hint="eastAsia" w:ascii="仿宋" w:hAnsi="仿宋" w:eastAsia="仿宋" w:cs="仿宋"/>
          <w:sz w:val="32"/>
        </w:rPr>
        <w:t>2019年，本单位按照有关政策文件和市财政局要求开展预算绩效管理工作，一是加强绩效目标管理。在编制2019年部门预算时，本部门将所有预算资金纳入绩效目标管理，实现了绩效目标与部门预算同步编制、同步申报。二是做好绩效自评。根据市财政局文件要求，本单位对2019年部门整体支出开展了绩效自评。</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hint="eastAsia" w:ascii="黑体" w:hAnsi="黑体" w:eastAsia="黑体" w:cs="黑体"/>
          <w:sz w:val="32"/>
        </w:rPr>
        <w:t>十</w:t>
      </w:r>
      <w:r>
        <w:rPr>
          <w:rFonts w:ascii="黑体" w:hAnsi="黑体" w:eastAsia="黑体" w:cs="黑体"/>
          <w:sz w:val="32"/>
        </w:rPr>
        <w:t>、其他重要事项的情况说明</w:t>
      </w:r>
    </w:p>
    <w:p>
      <w:pPr>
        <w:ind w:firstLine="640"/>
        <w:jc w:val="left"/>
        <w:rPr>
          <w:rFonts w:ascii="仿宋" w:hAnsi="仿宋" w:eastAsia="仿宋" w:cs="楷体"/>
          <w:sz w:val="32"/>
        </w:rPr>
      </w:pPr>
      <w:r>
        <w:rPr>
          <w:rFonts w:ascii="仿宋" w:hAnsi="仿宋" w:eastAsia="仿宋" w:cs="楷体"/>
          <w:sz w:val="32"/>
        </w:rPr>
        <w:t>（一）预决算收支增减变化情况。</w:t>
      </w:r>
    </w:p>
    <w:p>
      <w:pPr>
        <w:ind w:firstLine="640"/>
        <w:jc w:val="left"/>
        <w:rPr>
          <w:rFonts w:ascii="仿宋" w:hAnsi="仿宋" w:eastAsia="仿宋" w:cs="楷体"/>
          <w:sz w:val="32"/>
        </w:rPr>
      </w:pPr>
      <w:r>
        <w:rPr>
          <w:rFonts w:hint="eastAsia" w:ascii="仿宋" w:hAnsi="仿宋" w:eastAsia="仿宋" w:cs="楷体"/>
          <w:sz w:val="32"/>
        </w:rPr>
        <w:t>2019年部门预算收入101349.05万元，其中财政补助收入669.05万元，自有资金100680万元。决算收入</w:t>
      </w:r>
      <w:r>
        <w:rPr>
          <w:rFonts w:hint="eastAsia" w:ascii="仿宋" w:hAnsi="仿宋" w:eastAsia="仿宋" w:cs="仿宋"/>
          <w:sz w:val="32"/>
        </w:rPr>
        <w:t>126270.28</w:t>
      </w:r>
      <w:r>
        <w:rPr>
          <w:rFonts w:hint="eastAsia" w:ascii="仿宋" w:hAnsi="仿宋" w:eastAsia="仿宋" w:cs="楷体"/>
          <w:sz w:val="32"/>
        </w:rPr>
        <w:t>万元，其中财政补助收入</w:t>
      </w:r>
      <w:r>
        <w:rPr>
          <w:rFonts w:hint="eastAsia" w:ascii="仿宋" w:hAnsi="仿宋" w:eastAsia="仿宋" w:cs="仿宋"/>
          <w:sz w:val="32"/>
        </w:rPr>
        <w:t>2315.91</w:t>
      </w:r>
      <w:r>
        <w:rPr>
          <w:rFonts w:hint="eastAsia" w:ascii="仿宋" w:hAnsi="仿宋" w:eastAsia="仿宋" w:cs="楷体"/>
          <w:sz w:val="32"/>
        </w:rPr>
        <w:t>万元，自有资金</w:t>
      </w:r>
      <w:r>
        <w:rPr>
          <w:rFonts w:hint="eastAsia" w:ascii="仿宋" w:hAnsi="仿宋" w:eastAsia="仿宋" w:cs="仿宋"/>
          <w:sz w:val="32"/>
        </w:rPr>
        <w:t>123954.37</w:t>
      </w:r>
      <w:r>
        <w:rPr>
          <w:rFonts w:hint="eastAsia" w:ascii="仿宋" w:hAnsi="仿宋" w:eastAsia="仿宋" w:cs="楷体"/>
          <w:sz w:val="32"/>
        </w:rPr>
        <w:t>万元；部门预算支出101349.05万元，部门决算支出</w:t>
      </w:r>
      <w:r>
        <w:rPr>
          <w:rFonts w:hint="eastAsia" w:ascii="仿宋" w:hAnsi="仿宋" w:eastAsia="仿宋" w:cs="仿宋"/>
          <w:sz w:val="32"/>
        </w:rPr>
        <w:t>125295.21</w:t>
      </w:r>
      <w:r>
        <w:rPr>
          <w:rFonts w:hint="eastAsia" w:ascii="仿宋" w:hAnsi="仿宋" w:eastAsia="仿宋" w:cs="楷体"/>
          <w:sz w:val="32"/>
        </w:rPr>
        <w:t>万元。</w:t>
      </w:r>
    </w:p>
    <w:p>
      <w:pPr>
        <w:ind w:firstLine="640"/>
        <w:jc w:val="left"/>
        <w:rPr>
          <w:rFonts w:ascii="仿宋" w:hAnsi="仿宋" w:eastAsia="仿宋" w:cs="楷体"/>
          <w:color w:val="FF0000"/>
          <w:sz w:val="32"/>
        </w:rPr>
      </w:pPr>
      <w:r>
        <w:rPr>
          <w:rFonts w:ascii="仿宋" w:hAnsi="仿宋" w:eastAsia="仿宋" w:cs="楷体"/>
          <w:sz w:val="32"/>
        </w:rPr>
        <w:t>（二）机关运行经费支出情况。</w:t>
      </w:r>
    </w:p>
    <w:p>
      <w:pPr>
        <w:ind w:left="319" w:leftChars="152" w:firstLine="652" w:firstLineChars="204"/>
        <w:jc w:val="left"/>
        <w:rPr>
          <w:rFonts w:ascii="仿宋" w:hAnsi="仿宋" w:eastAsia="仿宋" w:cs="楷体"/>
          <w:sz w:val="32"/>
        </w:rPr>
      </w:pPr>
      <w:r>
        <w:rPr>
          <w:rFonts w:hint="eastAsia" w:ascii="仿宋" w:hAnsi="仿宋" w:eastAsia="仿宋" w:cs="楷体"/>
          <w:sz w:val="32"/>
        </w:rPr>
        <w:t>本单位为差额拨款的事业单位，无机关运行经费支出。</w:t>
      </w:r>
    </w:p>
    <w:p>
      <w:pPr>
        <w:ind w:left="320" w:firstLine="320" w:firstLineChars="100"/>
        <w:jc w:val="left"/>
        <w:rPr>
          <w:rFonts w:ascii="仿宋" w:hAnsi="仿宋" w:eastAsia="仿宋" w:cs="楷体"/>
          <w:sz w:val="32"/>
        </w:rPr>
      </w:pPr>
      <w:r>
        <w:rPr>
          <w:rFonts w:hint="eastAsia" w:ascii="仿宋" w:hAnsi="仿宋" w:eastAsia="仿宋" w:cs="楷体"/>
          <w:sz w:val="32"/>
        </w:rPr>
        <w:t>（三）</w:t>
      </w:r>
      <w:r>
        <w:rPr>
          <w:rFonts w:ascii="仿宋" w:hAnsi="仿宋" w:eastAsia="仿宋" w:cs="楷体"/>
          <w:sz w:val="32"/>
        </w:rPr>
        <w:t>政府采购支出情况。</w:t>
      </w:r>
    </w:p>
    <w:p>
      <w:pPr>
        <w:ind w:left="320" w:firstLine="320" w:firstLineChars="100"/>
        <w:jc w:val="left"/>
        <w:rPr>
          <w:rFonts w:hint="default" w:ascii="仿宋" w:hAnsi="仿宋" w:eastAsia="仿宋" w:cs="楷体"/>
          <w:sz w:val="32"/>
          <w:lang w:val="en-US" w:eastAsia="zh-CN"/>
        </w:rPr>
      </w:pPr>
      <w:r>
        <w:rPr>
          <w:rFonts w:ascii="仿宋" w:hAnsi="仿宋" w:eastAsia="仿宋"/>
          <w:sz w:val="32"/>
          <w:szCs w:val="32"/>
        </w:rPr>
        <w:t>201</w:t>
      </w:r>
      <w:r>
        <w:rPr>
          <w:rFonts w:hint="eastAsia" w:ascii="仿宋" w:hAnsi="仿宋" w:eastAsia="仿宋"/>
          <w:sz w:val="32"/>
          <w:szCs w:val="32"/>
        </w:rPr>
        <w:t>9年度</w:t>
      </w:r>
      <w:r>
        <w:rPr>
          <w:rFonts w:hint="eastAsia" w:ascii="仿宋" w:hAnsi="仿宋" w:eastAsia="仿宋"/>
          <w:sz w:val="32"/>
          <w:szCs w:val="32"/>
          <w:lang w:eastAsia="zh-CN"/>
        </w:rPr>
        <w:t>政府实际采购金额为</w:t>
      </w:r>
      <w:r>
        <w:rPr>
          <w:rFonts w:hint="eastAsia" w:ascii="仿宋" w:hAnsi="仿宋" w:eastAsia="仿宋"/>
          <w:sz w:val="32"/>
          <w:szCs w:val="32"/>
          <w:lang w:val="en-US" w:eastAsia="zh-CN"/>
        </w:rPr>
        <w:t>123.8万元，其中政府采购货物支出88万元，政府采购工程支出0万元，政府采购服务支出35.8万元</w:t>
      </w:r>
      <w:r>
        <w:rPr>
          <w:rFonts w:hint="eastAsia" w:ascii="仿宋" w:hAnsi="仿宋" w:eastAsia="仿宋"/>
          <w:sz w:val="32"/>
          <w:szCs w:val="32"/>
        </w:rPr>
        <w:t>。</w:t>
      </w:r>
      <w:r>
        <w:rPr>
          <w:rFonts w:hint="eastAsia" w:ascii="仿宋" w:hAnsi="仿宋" w:eastAsia="仿宋"/>
          <w:sz w:val="32"/>
          <w:szCs w:val="32"/>
          <w:lang w:eastAsia="zh-CN"/>
        </w:rPr>
        <w:t>中下企业合同金额占政府医院</w:t>
      </w:r>
      <w:bookmarkStart w:id="0" w:name="_GoBack"/>
      <w:bookmarkEnd w:id="0"/>
      <w:r>
        <w:rPr>
          <w:rFonts w:hint="eastAsia" w:ascii="仿宋" w:hAnsi="仿宋" w:eastAsia="仿宋"/>
          <w:sz w:val="32"/>
          <w:szCs w:val="32"/>
          <w:lang w:eastAsia="zh-CN"/>
        </w:rPr>
        <w:t>采购支出总金额的比为</w:t>
      </w:r>
      <w:r>
        <w:rPr>
          <w:rFonts w:hint="eastAsia" w:ascii="仿宋" w:hAnsi="仿宋" w:eastAsia="仿宋"/>
          <w:sz w:val="32"/>
          <w:szCs w:val="32"/>
          <w:lang w:val="en-US" w:eastAsia="zh-CN"/>
        </w:rPr>
        <w:t>100%。</w:t>
      </w:r>
    </w:p>
    <w:p>
      <w:pPr>
        <w:ind w:left="320"/>
        <w:jc w:val="left"/>
        <w:rPr>
          <w:rFonts w:ascii="楷体" w:hAnsi="楷体" w:eastAsia="楷体" w:cs="楷体"/>
          <w:sz w:val="32"/>
        </w:rPr>
      </w:pPr>
    </w:p>
    <w:p>
      <w:pPr>
        <w:ind w:firstLine="320" w:firstLineChars="100"/>
        <w:jc w:val="left"/>
        <w:rPr>
          <w:rFonts w:ascii="楷体" w:hAnsi="楷体" w:eastAsia="楷体" w:cs="楷体"/>
          <w:sz w:val="32"/>
        </w:rPr>
      </w:pPr>
      <w:r>
        <w:rPr>
          <w:rFonts w:ascii="楷体" w:hAnsi="楷体" w:eastAsia="楷体" w:cs="楷体"/>
          <w:sz w:val="32"/>
        </w:rPr>
        <w:t>（四）国有资产占用情况。</w:t>
      </w:r>
    </w:p>
    <w:p>
      <w:pPr>
        <w:ind w:firstLine="640" w:firstLineChars="20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201</w:t>
      </w:r>
      <w:r>
        <w:rPr>
          <w:rFonts w:hint="eastAsia" w:ascii="仿宋" w:hAnsi="仿宋" w:eastAsia="仿宋"/>
          <w:sz w:val="32"/>
          <w:szCs w:val="32"/>
        </w:rPr>
        <w:t>9年1</w:t>
      </w:r>
      <w:r>
        <w:rPr>
          <w:rFonts w:ascii="仿宋" w:hAnsi="仿宋" w:eastAsia="仿宋"/>
          <w:sz w:val="32"/>
          <w:szCs w:val="32"/>
        </w:rPr>
        <w:t>2</w:t>
      </w:r>
      <w:r>
        <w:rPr>
          <w:rFonts w:hint="eastAsia" w:ascii="仿宋" w:hAnsi="仿宋" w:eastAsia="仿宋"/>
          <w:sz w:val="32"/>
          <w:szCs w:val="32"/>
        </w:rPr>
        <w:t>月</w:t>
      </w:r>
      <w:r>
        <w:rPr>
          <w:rFonts w:ascii="仿宋" w:hAnsi="仿宋" w:eastAsia="仿宋"/>
          <w:sz w:val="32"/>
          <w:szCs w:val="32"/>
        </w:rPr>
        <w:t>31</w:t>
      </w:r>
      <w:r>
        <w:rPr>
          <w:rFonts w:hint="eastAsia" w:ascii="仿宋" w:hAnsi="仿宋" w:eastAsia="仿宋"/>
          <w:sz w:val="32"/>
          <w:szCs w:val="32"/>
        </w:rPr>
        <w:t>日，本部门共有车辆9辆，其中，一般公务用车3辆、其他用车6辆，其他用车主要是救护车，；单位价值</w:t>
      </w:r>
      <w:r>
        <w:rPr>
          <w:rFonts w:ascii="仿宋" w:hAnsi="仿宋" w:eastAsia="仿宋"/>
          <w:sz w:val="32"/>
          <w:szCs w:val="32"/>
        </w:rPr>
        <w:t>50</w:t>
      </w:r>
      <w:r>
        <w:rPr>
          <w:rFonts w:hint="eastAsia" w:ascii="仿宋" w:hAnsi="仿宋" w:eastAsia="仿宋"/>
          <w:sz w:val="32"/>
          <w:szCs w:val="32"/>
        </w:rPr>
        <w:t>万元以上通用设备12台</w:t>
      </w:r>
      <w:r>
        <w:rPr>
          <w:rFonts w:ascii="仿宋" w:hAnsi="仿宋" w:eastAsia="仿宋"/>
          <w:sz w:val="32"/>
          <w:szCs w:val="32"/>
        </w:rPr>
        <w:t>(</w:t>
      </w:r>
      <w:r>
        <w:rPr>
          <w:rFonts w:hint="eastAsia" w:ascii="仿宋" w:hAnsi="仿宋" w:eastAsia="仿宋"/>
          <w:sz w:val="32"/>
          <w:szCs w:val="32"/>
        </w:rPr>
        <w:t>套</w:t>
      </w:r>
      <w:r>
        <w:rPr>
          <w:rFonts w:ascii="仿宋" w:hAnsi="仿宋" w:eastAsia="仿宋"/>
          <w:sz w:val="32"/>
          <w:szCs w:val="32"/>
        </w:rPr>
        <w:t>)</w:t>
      </w:r>
      <w:r>
        <w:rPr>
          <w:rFonts w:hint="eastAsia" w:ascii="仿宋" w:hAnsi="仿宋" w:eastAsia="仿宋"/>
          <w:sz w:val="32"/>
          <w:szCs w:val="32"/>
        </w:rPr>
        <w:t>，单价</w:t>
      </w:r>
      <w:r>
        <w:rPr>
          <w:rFonts w:ascii="仿宋" w:hAnsi="仿宋" w:eastAsia="仿宋"/>
          <w:sz w:val="32"/>
          <w:szCs w:val="32"/>
        </w:rPr>
        <w:t>100</w:t>
      </w:r>
      <w:r>
        <w:rPr>
          <w:rFonts w:hint="eastAsia" w:ascii="仿宋" w:hAnsi="仿宋" w:eastAsia="仿宋"/>
          <w:sz w:val="32"/>
          <w:szCs w:val="32"/>
        </w:rPr>
        <w:t>万正以上专用设备71台</w:t>
      </w:r>
      <w:r>
        <w:rPr>
          <w:rFonts w:ascii="仿宋" w:hAnsi="仿宋" w:eastAsia="仿宋"/>
          <w:sz w:val="32"/>
          <w:szCs w:val="32"/>
        </w:rPr>
        <w:t>(</w:t>
      </w:r>
      <w:r>
        <w:rPr>
          <w:rFonts w:hint="eastAsia" w:ascii="仿宋" w:hAnsi="仿宋" w:eastAsia="仿宋"/>
          <w:sz w:val="32"/>
          <w:szCs w:val="32"/>
        </w:rPr>
        <w:t>套）。</w:t>
      </w:r>
    </w:p>
    <w:p>
      <w:pPr>
        <w:ind w:firstLine="640"/>
        <w:jc w:val="left"/>
        <w:rPr>
          <w:rFonts w:ascii="楷体" w:hAnsi="楷体" w:eastAsia="楷体" w:cs="楷体"/>
          <w:sz w:val="32"/>
        </w:rPr>
      </w:pPr>
    </w:p>
    <w:p>
      <w:pPr>
        <w:jc w:val="center"/>
        <w:rPr>
          <w:rFonts w:ascii="方正小标宋_GBK" w:hAnsi="方正小标宋_GBK" w:eastAsia="方正小标宋_GBK" w:cs="方正小标宋_GBK"/>
          <w:sz w:val="44"/>
        </w:rPr>
      </w:pPr>
      <w:r>
        <w:rPr>
          <w:rFonts w:ascii="宋体" w:hAnsi="宋体" w:eastAsia="宋体" w:cs="宋体"/>
          <w:sz w:val="44"/>
        </w:rPr>
        <w:t>第四部分名词解释</w:t>
      </w:r>
    </w:p>
    <w:p>
      <w:pPr>
        <w:ind w:firstLine="643"/>
        <w:jc w:val="left"/>
        <w:rPr>
          <w:rFonts w:ascii="仿宋" w:hAnsi="仿宋" w:eastAsia="仿宋" w:cs="仿宋"/>
          <w:b/>
          <w:sz w:val="32"/>
        </w:rPr>
      </w:pP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jc w:val="left"/>
        <w:rPr>
          <w:rFonts w:ascii="仿宋" w:hAnsi="仿宋" w:eastAsia="仿宋" w:cs="仿宋"/>
          <w:sz w:val="32"/>
        </w:rPr>
      </w:pPr>
    </w:p>
    <w:p>
      <w:pPr>
        <w:ind w:firstLine="643"/>
        <w:jc w:val="left"/>
        <w:rPr>
          <w:rFonts w:ascii="仿宋" w:hAnsi="仿宋" w:eastAsia="仿宋" w:cs="仿宋"/>
          <w:sz w:val="32"/>
        </w:rPr>
      </w:pPr>
    </w:p>
    <w:p>
      <w:pPr>
        <w:ind w:firstLine="643"/>
        <w:jc w:val="left"/>
        <w:rPr>
          <w:rFonts w:ascii="仿宋" w:hAnsi="仿宋" w:eastAsia="仿宋" w:cs="仿宋"/>
          <w:sz w:val="32"/>
        </w:rPr>
      </w:pPr>
    </w:p>
    <w:p>
      <w:pPr>
        <w:ind w:firstLine="643"/>
        <w:jc w:val="left"/>
        <w:rPr>
          <w:rFonts w:ascii="仿宋" w:hAnsi="仿宋" w:eastAsia="仿宋" w:cs="仿宋"/>
          <w:sz w:val="32"/>
        </w:rPr>
      </w:pPr>
    </w:p>
    <w:p>
      <w:pPr>
        <w:ind w:firstLine="643"/>
        <w:jc w:val="left"/>
        <w:rPr>
          <w:rFonts w:ascii="仿宋" w:hAnsi="仿宋" w:eastAsia="仿宋" w:cs="仿宋"/>
          <w:sz w:val="32"/>
        </w:rPr>
      </w:pPr>
    </w:p>
    <w:p>
      <w:pPr>
        <w:ind w:firstLine="643"/>
        <w:jc w:val="left"/>
        <w:rPr>
          <w:rFonts w:ascii="仿宋" w:hAnsi="仿宋" w:eastAsia="仿宋" w:cs="仿宋"/>
          <w:sz w:val="32"/>
        </w:rPr>
      </w:pPr>
    </w:p>
    <w:p>
      <w:pPr>
        <w:rPr>
          <w:rFonts w:ascii="宋体" w:hAnsi="宋体" w:eastAsia="宋体" w:cs="宋体"/>
          <w:sz w:val="44"/>
        </w:rPr>
      </w:pPr>
    </w:p>
    <w:sectPr>
      <w:headerReference r:id="rId3" w:type="default"/>
      <w:footerReference r:id="rId4" w:type="default"/>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方正小标宋_GBK">
    <w:altName w:val="宋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
      <w:tblW w:w="5000" w:type="pct"/>
      <w:tblInd w:w="0" w:type="dxa"/>
      <w:tblLayout w:type="autofit"/>
      <w:tblCellMar>
        <w:top w:w="72" w:type="dxa"/>
        <w:left w:w="115" w:type="dxa"/>
        <w:bottom w:w="72" w:type="dxa"/>
        <w:right w:w="115" w:type="dxa"/>
      </w:tblCellMar>
    </w:tblPr>
    <w:tblGrid>
      <w:gridCol w:w="8881"/>
      <w:gridCol w:w="987"/>
    </w:tblGrid>
    <w:tr>
      <w:tc>
        <w:tcPr>
          <w:tcW w:w="4500" w:type="pct"/>
          <w:tcBorders>
            <w:top w:val="single" w:color="000000" w:themeColor="text1" w:sz="4" w:space="0"/>
          </w:tcBorders>
        </w:tcPr>
        <w:p>
          <w:pPr>
            <w:pStyle w:val="3"/>
            <w:jc w:val="right"/>
          </w:pPr>
          <w:sdt>
            <w:sdtPr>
              <w:alias w:val="公司"/>
              <w:id w:val="75971759"/>
              <w:placeholder>
                <w:docPart w:val="CF85FE625FBE4FEC94E0B0892CD75446"/>
              </w:placeholder>
              <w15:dataBinding w:prefixMappings="xmlns:ns0='http://schemas.openxmlformats.org/officeDocument/2006/extended-properties'" w:xpath="/ns0:Properties[1]/ns0:Company[1]" w:storeItemID="{6668398D-A668-4E3E-A5EB-62B293D839F1}"/>
              <w:text/>
            </w:sdtPr>
            <w:sdtContent>
              <w:r>
                <w:rPr>
                  <w:rFonts w:hint="eastAsia"/>
                </w:rPr>
                <w:t>益阳市中心医院2019年度决算报告</w:t>
              </w:r>
            </w:sdtContent>
          </w:sdt>
        </w:p>
      </w:tc>
      <w:tc>
        <w:tcPr>
          <w:tcW w:w="500" w:type="pct"/>
          <w:tcBorders>
            <w:top w:val="single" w:color="C0504D" w:themeColor="accent2" w:sz="4" w:space="0"/>
          </w:tcBorders>
          <w:shd w:val="clear" w:color="auto" w:fill="943734" w:themeFill="accent2" w:themeFillShade="BF"/>
        </w:tcPr>
        <w:p>
          <w:pPr>
            <w:pStyle w:val="4"/>
            <w:rPr>
              <w:color w:val="FFFFFF" w:themeColor="background1"/>
            </w:rPr>
          </w:pPr>
          <w:r>
            <w:fldChar w:fldCharType="begin"/>
          </w:r>
          <w:r>
            <w:instrText xml:space="preserve"> PAGE   \* MERGEFORMAT </w:instrText>
          </w:r>
          <w:r>
            <w:fldChar w:fldCharType="separate"/>
          </w:r>
          <w:r>
            <w:rPr>
              <w:color w:val="FFFFFF" w:themeColor="background1"/>
              <w:lang w:val="zh-CN"/>
            </w:rPr>
            <w:t>12</w:t>
          </w:r>
          <w:r>
            <w:rPr>
              <w:color w:val="FFFFFF" w:themeColor="background1"/>
              <w:lang w:val="zh-CN"/>
            </w:rPr>
            <w:fldChar w:fldCharType="end"/>
          </w:r>
        </w:p>
      </w:tc>
    </w:tr>
  </w:tbl>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r>
      <w:pict>
        <v:shape id="_x0000_s4097" o:spid="_x0000_s4097" o:spt="202" type="#_x0000_t202" style="position:absolute;left:0pt;margin-left:56.7pt;margin-top:29.2pt;height:14.25pt;width:468pt;mso-position-horizontal-relative:page;mso-position-vertical-relative:page;z-index:251660288;v-text-anchor:middle;mso-width-relative:margin;mso-height-relative:page;mso-width-percent:1000;" filled="f" stroked="f" coordsize="21600,21600" o:allowincell="f">
          <v:path/>
          <v:fill on="f" focussize="0,0"/>
          <v:stroke on="f" joinstyle="miter"/>
          <v:imagedata o:title=""/>
          <o:lock v:ext="edit"/>
          <v:textbox inset="2.54mm,0mm,2.54mm,0mm" style="mso-fit-shape-to-text:t;">
            <w:txbxContent>
              <w:sdt>
                <w:sdtPr>
                  <w:alias w:val="标题"/>
                  <w:id w:val="78679243"/>
                  <w:placeholder>
                    <w:docPart w:val="A303684448BE45FD91E3CC7CAE08D97B"/>
                  </w:placeholder>
                  <w15:dataBinding w:prefixMappings="xmlns:ns0='http://schemas.openxmlformats.org/package/2006/metadata/core-properties' xmlns:ns1='http://purl.org/dc/elements/1.1/'" w:xpath="/ns0:coreProperties[1]/ns1:title[1]" w:storeItemID="{6C3C8BC8-F283-45AE-878A-BAB7291924A1}"/>
                  <w:text/>
                </w:sdtPr>
                <w:sdtContent>
                  <w:p>
                    <w:r>
                      <w:rPr>
                        <w:rFonts w:hint="eastAsia"/>
                      </w:rPr>
                      <w:t>益阳市中心医院2019年度部门决算</w:t>
                    </w:r>
                  </w:p>
                </w:sdtContent>
              </w:sdt>
            </w:txbxContent>
          </v:textbox>
        </v:shape>
      </w:pict>
    </w:r>
    <w:r>
      <w:pict>
        <v:shape id="_x0000_s4098" o:spid="_x0000_s4098" o:spt="202" type="#_x0000_t202" style="position:absolute;left:0pt;margin-left:0.05pt;margin-top:29.6pt;height:13.45pt;width:72pt;mso-position-horizontal-relative:page;mso-position-vertical-relative:page;z-index:251659264;v-text-anchor:middle;mso-width-relative:left-margin-area;mso-height-relative:page;mso-width-percent:1000;" fillcolor="#4F81BD" filled="t" stroked="f" coordsize="21600,21600" o:allowincell="f">
          <v:path/>
          <v:fill on="t" focussize="0,0"/>
          <v:stroke on="f" joinstyle="miter"/>
          <v:imagedata o:title=""/>
          <o:lock v:ext="edit"/>
          <v:textbox inset="2.54mm,0mm,2.54mm,0mm" style="mso-fit-shape-to-text:t;">
            <w:txbxContent>
              <w:p>
                <w:pPr>
                  <w:jc w:val="right"/>
                  <w:rPr>
                    <w:color w:val="FFFFFF" w:themeColor="background1"/>
                  </w:rPr>
                </w:pPr>
                <w:r>
                  <w:fldChar w:fldCharType="begin"/>
                </w:r>
                <w:r>
                  <w:instrText xml:space="preserve"> PAGE   \* MERGEFORMAT </w:instrText>
                </w:r>
                <w:r>
                  <w:fldChar w:fldCharType="separate"/>
                </w:r>
                <w:r>
                  <w:rPr>
                    <w:color w:val="FFFFFF" w:themeColor="background1"/>
                    <w:lang w:val="zh-CN"/>
                  </w:rPr>
                  <w:t>12</w:t>
                </w:r>
                <w:r>
                  <w:rPr>
                    <w:color w:val="FFFFFF" w:themeColor="background1"/>
                    <w:lang w:val="zh-CN"/>
                  </w:rPr>
                  <w:fldChar w:fldCharType="end"/>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noPunctuationKerning w:val="1"/>
  <w:characterSpacingControl w:val="doNotCompress"/>
  <w:hdrShapeDefaults>
    <o:shapelayout v:ext="edit">
      <o:idmap v:ext="edit" data="3,4"/>
    </o:shapelayout>
  </w:hdrShapeDefaults>
  <w:compat>
    <w:doNotExpandShiftReturn/>
    <w:doNotWrapTextWithPunct/>
    <w:doNotUseEastAsianBreakRules/>
    <w:useFELayout/>
    <w:doNotUseIndentAsNumberingTabStop/>
    <w:useAltKinsokuLineBreakRules/>
    <w:compatSetting w:name="compatibilityMode" w:uri="http://schemas.microsoft.com/office/word" w:val="12"/>
  </w:compat>
  <w:rsids>
    <w:rsidRoot w:val="00361F25"/>
    <w:rsid w:val="00015390"/>
    <w:rsid w:val="00022F24"/>
    <w:rsid w:val="00045143"/>
    <w:rsid w:val="000452DB"/>
    <w:rsid w:val="000533BC"/>
    <w:rsid w:val="000607EC"/>
    <w:rsid w:val="0006280C"/>
    <w:rsid w:val="000750A3"/>
    <w:rsid w:val="000911A3"/>
    <w:rsid w:val="00094790"/>
    <w:rsid w:val="000A34D2"/>
    <w:rsid w:val="000B56F7"/>
    <w:rsid w:val="000D1319"/>
    <w:rsid w:val="000E1DA1"/>
    <w:rsid w:val="000E5123"/>
    <w:rsid w:val="000E59D7"/>
    <w:rsid w:val="000F11CE"/>
    <w:rsid w:val="001028FC"/>
    <w:rsid w:val="00105568"/>
    <w:rsid w:val="0011267F"/>
    <w:rsid w:val="001130E2"/>
    <w:rsid w:val="0013022B"/>
    <w:rsid w:val="001352FB"/>
    <w:rsid w:val="00144D50"/>
    <w:rsid w:val="00146545"/>
    <w:rsid w:val="00157FEE"/>
    <w:rsid w:val="00160FA3"/>
    <w:rsid w:val="00161F23"/>
    <w:rsid w:val="00164ECD"/>
    <w:rsid w:val="001921CC"/>
    <w:rsid w:val="001953F6"/>
    <w:rsid w:val="001A0A0C"/>
    <w:rsid w:val="001A46DB"/>
    <w:rsid w:val="001C43C8"/>
    <w:rsid w:val="001E25B4"/>
    <w:rsid w:val="001E2769"/>
    <w:rsid w:val="001E57BE"/>
    <w:rsid w:val="001E63B8"/>
    <w:rsid w:val="002032C9"/>
    <w:rsid w:val="002458C9"/>
    <w:rsid w:val="00245EB9"/>
    <w:rsid w:val="00246FD4"/>
    <w:rsid w:val="0025703E"/>
    <w:rsid w:val="00272434"/>
    <w:rsid w:val="00281968"/>
    <w:rsid w:val="00283962"/>
    <w:rsid w:val="00296BA7"/>
    <w:rsid w:val="002A4659"/>
    <w:rsid w:val="002B0A8B"/>
    <w:rsid w:val="002D43ED"/>
    <w:rsid w:val="002D5DD0"/>
    <w:rsid w:val="002E33DE"/>
    <w:rsid w:val="002F0999"/>
    <w:rsid w:val="002F78EC"/>
    <w:rsid w:val="0032612C"/>
    <w:rsid w:val="00357CC1"/>
    <w:rsid w:val="00361F25"/>
    <w:rsid w:val="003638A2"/>
    <w:rsid w:val="00367A0C"/>
    <w:rsid w:val="00374863"/>
    <w:rsid w:val="0037645E"/>
    <w:rsid w:val="0038645F"/>
    <w:rsid w:val="003915D2"/>
    <w:rsid w:val="003A1147"/>
    <w:rsid w:val="003A26C9"/>
    <w:rsid w:val="003B663D"/>
    <w:rsid w:val="003C1126"/>
    <w:rsid w:val="003D29E6"/>
    <w:rsid w:val="003D5F7C"/>
    <w:rsid w:val="003F3E09"/>
    <w:rsid w:val="004120B5"/>
    <w:rsid w:val="00440303"/>
    <w:rsid w:val="0044462F"/>
    <w:rsid w:val="0044540D"/>
    <w:rsid w:val="00447982"/>
    <w:rsid w:val="0045129E"/>
    <w:rsid w:val="00454F14"/>
    <w:rsid w:val="004606BE"/>
    <w:rsid w:val="004725BA"/>
    <w:rsid w:val="004C1302"/>
    <w:rsid w:val="004C174B"/>
    <w:rsid w:val="004D02D0"/>
    <w:rsid w:val="004E2F24"/>
    <w:rsid w:val="00500157"/>
    <w:rsid w:val="005226C5"/>
    <w:rsid w:val="005327A4"/>
    <w:rsid w:val="00537ACA"/>
    <w:rsid w:val="005402B8"/>
    <w:rsid w:val="00545742"/>
    <w:rsid w:val="00545ABE"/>
    <w:rsid w:val="005502BE"/>
    <w:rsid w:val="00555E05"/>
    <w:rsid w:val="00580311"/>
    <w:rsid w:val="00582244"/>
    <w:rsid w:val="00586041"/>
    <w:rsid w:val="005B29D7"/>
    <w:rsid w:val="005B5166"/>
    <w:rsid w:val="005B645A"/>
    <w:rsid w:val="005D23CD"/>
    <w:rsid w:val="005E2E58"/>
    <w:rsid w:val="00605207"/>
    <w:rsid w:val="006123DC"/>
    <w:rsid w:val="00633041"/>
    <w:rsid w:val="00637AF4"/>
    <w:rsid w:val="0065030C"/>
    <w:rsid w:val="00651601"/>
    <w:rsid w:val="006B26EB"/>
    <w:rsid w:val="0070163B"/>
    <w:rsid w:val="00726CAA"/>
    <w:rsid w:val="00730262"/>
    <w:rsid w:val="007308E0"/>
    <w:rsid w:val="00732CB0"/>
    <w:rsid w:val="00733F39"/>
    <w:rsid w:val="007500AC"/>
    <w:rsid w:val="00756836"/>
    <w:rsid w:val="00764888"/>
    <w:rsid w:val="007A0580"/>
    <w:rsid w:val="007A0E31"/>
    <w:rsid w:val="007C0B64"/>
    <w:rsid w:val="007C6882"/>
    <w:rsid w:val="007D4988"/>
    <w:rsid w:val="007D6018"/>
    <w:rsid w:val="00803EF9"/>
    <w:rsid w:val="008319D6"/>
    <w:rsid w:val="00840A0E"/>
    <w:rsid w:val="00842F60"/>
    <w:rsid w:val="008A5E19"/>
    <w:rsid w:val="008B52EF"/>
    <w:rsid w:val="008B61BE"/>
    <w:rsid w:val="008C1CA7"/>
    <w:rsid w:val="008F546E"/>
    <w:rsid w:val="0090428F"/>
    <w:rsid w:val="00944A79"/>
    <w:rsid w:val="00944B8A"/>
    <w:rsid w:val="00946F32"/>
    <w:rsid w:val="0095523E"/>
    <w:rsid w:val="0096182A"/>
    <w:rsid w:val="00986A51"/>
    <w:rsid w:val="009B4C5A"/>
    <w:rsid w:val="009B5516"/>
    <w:rsid w:val="009B764E"/>
    <w:rsid w:val="009D2CAD"/>
    <w:rsid w:val="009D3311"/>
    <w:rsid w:val="00A011D6"/>
    <w:rsid w:val="00A15F76"/>
    <w:rsid w:val="00A23314"/>
    <w:rsid w:val="00A4368C"/>
    <w:rsid w:val="00A47A61"/>
    <w:rsid w:val="00A806B4"/>
    <w:rsid w:val="00AB25EE"/>
    <w:rsid w:val="00AD4153"/>
    <w:rsid w:val="00AD57AA"/>
    <w:rsid w:val="00AE71F0"/>
    <w:rsid w:val="00AF64D3"/>
    <w:rsid w:val="00B133A3"/>
    <w:rsid w:val="00B2328D"/>
    <w:rsid w:val="00B27C51"/>
    <w:rsid w:val="00B30B2E"/>
    <w:rsid w:val="00B34746"/>
    <w:rsid w:val="00B378A8"/>
    <w:rsid w:val="00B44575"/>
    <w:rsid w:val="00B45ED4"/>
    <w:rsid w:val="00B8038F"/>
    <w:rsid w:val="00BA34FA"/>
    <w:rsid w:val="00BC286E"/>
    <w:rsid w:val="00BC6D21"/>
    <w:rsid w:val="00BD0975"/>
    <w:rsid w:val="00BD48DA"/>
    <w:rsid w:val="00BF0084"/>
    <w:rsid w:val="00BF5F17"/>
    <w:rsid w:val="00C02D7B"/>
    <w:rsid w:val="00C17C23"/>
    <w:rsid w:val="00C308B0"/>
    <w:rsid w:val="00C44F18"/>
    <w:rsid w:val="00C47373"/>
    <w:rsid w:val="00C643B5"/>
    <w:rsid w:val="00C72F7E"/>
    <w:rsid w:val="00CA273C"/>
    <w:rsid w:val="00CA4A92"/>
    <w:rsid w:val="00CD0174"/>
    <w:rsid w:val="00CE2E6F"/>
    <w:rsid w:val="00CE7082"/>
    <w:rsid w:val="00CF0B96"/>
    <w:rsid w:val="00D1390E"/>
    <w:rsid w:val="00D21CDF"/>
    <w:rsid w:val="00D36804"/>
    <w:rsid w:val="00D416DC"/>
    <w:rsid w:val="00D46213"/>
    <w:rsid w:val="00D778A1"/>
    <w:rsid w:val="00D83956"/>
    <w:rsid w:val="00D86C45"/>
    <w:rsid w:val="00DA4E43"/>
    <w:rsid w:val="00DE7073"/>
    <w:rsid w:val="00DF6FA5"/>
    <w:rsid w:val="00DF7869"/>
    <w:rsid w:val="00E00949"/>
    <w:rsid w:val="00E05B34"/>
    <w:rsid w:val="00E07E5A"/>
    <w:rsid w:val="00E13363"/>
    <w:rsid w:val="00E27221"/>
    <w:rsid w:val="00E3384F"/>
    <w:rsid w:val="00E455AE"/>
    <w:rsid w:val="00E517E0"/>
    <w:rsid w:val="00E70850"/>
    <w:rsid w:val="00E72C94"/>
    <w:rsid w:val="00E83B89"/>
    <w:rsid w:val="00E84B0E"/>
    <w:rsid w:val="00E90779"/>
    <w:rsid w:val="00EB754A"/>
    <w:rsid w:val="00EC2A23"/>
    <w:rsid w:val="00EC2AAC"/>
    <w:rsid w:val="00EF3CD2"/>
    <w:rsid w:val="00F10DD4"/>
    <w:rsid w:val="00F13BEA"/>
    <w:rsid w:val="00F14EFE"/>
    <w:rsid w:val="00F17237"/>
    <w:rsid w:val="00F322AD"/>
    <w:rsid w:val="00F35C36"/>
    <w:rsid w:val="00F37078"/>
    <w:rsid w:val="00F44513"/>
    <w:rsid w:val="00F46828"/>
    <w:rsid w:val="00F65632"/>
    <w:rsid w:val="00F67FED"/>
    <w:rsid w:val="00F73336"/>
    <w:rsid w:val="00F90EA9"/>
    <w:rsid w:val="00F91B40"/>
    <w:rsid w:val="00F91DB8"/>
    <w:rsid w:val="00F94200"/>
    <w:rsid w:val="00FA49F8"/>
    <w:rsid w:val="00FA5F69"/>
    <w:rsid w:val="00FC3853"/>
    <w:rsid w:val="00FD550F"/>
    <w:rsid w:val="00FE3F03"/>
    <w:rsid w:val="00FF3778"/>
    <w:rsid w:val="00FF6AE6"/>
    <w:rsid w:val="02A13EF5"/>
    <w:rsid w:val="043F493D"/>
    <w:rsid w:val="07B81A59"/>
    <w:rsid w:val="092C31B5"/>
    <w:rsid w:val="0A4516FE"/>
    <w:rsid w:val="0CDE4936"/>
    <w:rsid w:val="0FFB3E7C"/>
    <w:rsid w:val="16C66F06"/>
    <w:rsid w:val="1796745F"/>
    <w:rsid w:val="19AA4D15"/>
    <w:rsid w:val="1CF06A63"/>
    <w:rsid w:val="21A363A2"/>
    <w:rsid w:val="23A10561"/>
    <w:rsid w:val="23A27F74"/>
    <w:rsid w:val="3DA1784B"/>
    <w:rsid w:val="428C2BEF"/>
    <w:rsid w:val="43140CA2"/>
    <w:rsid w:val="46D645F4"/>
    <w:rsid w:val="482344D0"/>
    <w:rsid w:val="4DD83366"/>
    <w:rsid w:val="5A5C6221"/>
    <w:rsid w:val="5AD302A9"/>
    <w:rsid w:val="5C393FA6"/>
    <w:rsid w:val="60B75923"/>
    <w:rsid w:val="66032562"/>
    <w:rsid w:val="6F9C6ACC"/>
    <w:rsid w:val="730427BD"/>
    <w:rsid w:val="773A630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rPr>
  </w:style>
  <w:style w:type="character" w:styleId="8">
    <w:name w:val="Hyperlink"/>
    <w:basedOn w:val="6"/>
    <w:unhideWhenUsed/>
    <w:qFormat/>
    <w:uiPriority w:val="99"/>
    <w:rPr>
      <w:color w:val="0000FF" w:themeColor="hyperlink"/>
      <w:u w:val="single"/>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6"/>
    <w:link w:val="2"/>
    <w:semiHidden/>
    <w:qFormat/>
    <w:uiPriority w:val="99"/>
    <w:rPr>
      <w:sz w:val="18"/>
      <w:szCs w:val="18"/>
    </w:rPr>
  </w:style>
  <w:style w:type="paragraph" w:styleId="13">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14">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character" w:customStyle="1" w:styleId="15">
    <w:name w:val="font31"/>
    <w:basedOn w:val="6"/>
    <w:qFormat/>
    <w:uiPriority w:val="0"/>
    <w:rPr>
      <w:rFonts w:hint="eastAsia" w:ascii="宋体" w:hAnsi="宋体" w:eastAsia="宋体" w:cs="宋体"/>
      <w:color w:val="000000"/>
      <w:sz w:val="20"/>
      <w:szCs w:val="20"/>
      <w:u w:val="none"/>
    </w:rPr>
  </w:style>
  <w:style w:type="character" w:customStyle="1" w:styleId="16">
    <w:name w:val="font41"/>
    <w:basedOn w:val="6"/>
    <w:qFormat/>
    <w:uiPriority w:val="0"/>
    <w:rPr>
      <w:rFonts w:hint="eastAsia" w:ascii="宋体" w:hAnsi="宋体" w:eastAsia="宋体" w:cs="宋体"/>
      <w:color w:val="000000"/>
      <w:sz w:val="20"/>
      <w:szCs w:val="20"/>
      <w:u w:val="none"/>
    </w:rPr>
  </w:style>
  <w:style w:type="paragraph" w:customStyle="1" w:styleId="17">
    <w:name w:val="8595A71431B84F609A33760DCFC02109"/>
    <w:qFormat/>
    <w:uiPriority w:val="0"/>
    <w:pPr>
      <w:spacing w:after="200" w:line="276" w:lineRule="auto"/>
    </w:pPr>
    <w:rPr>
      <w:rFonts w:asciiTheme="minorHAnsi" w:hAnsiTheme="minorHAnsi" w:eastAsiaTheme="minorEastAsia" w:cstheme="minorBidi"/>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customXml" Target="../customXml/item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收入决算</a:t>
            </a:r>
            <a:endParaRPr lang="zh-CN" altLang="en-US"/>
          </a:p>
        </c:rich>
      </c:tx>
      <c:layout/>
      <c:overlay val="0"/>
    </c:title>
    <c:autoTitleDeleted val="0"/>
    <c:plotArea>
      <c:layout/>
      <c:pieChart>
        <c:varyColors val="1"/>
        <c:ser>
          <c:idx val="0"/>
          <c:order val="0"/>
          <c:tx>
            <c:strRef>
              <c:f>Sheet1!$B$1</c:f>
              <c:strCache>
                <c:ptCount val="1"/>
                <c:pt idx="0">
                  <c:v>收入决算表</c:v>
                </c:pt>
              </c:strCache>
            </c:strRef>
          </c:tx>
          <c:explosion val="0"/>
          <c:dPt>
            <c:idx val="0"/>
            <c:bubble3D val="0"/>
          </c:dPt>
          <c:dPt>
            <c:idx val="1"/>
            <c:bubble3D val="0"/>
          </c:dPt>
          <c:dPt>
            <c:idx val="2"/>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Sheet1!$A$2:$A$4</c:f>
              <c:strCache>
                <c:ptCount val="3"/>
                <c:pt idx="0">
                  <c:v>财政拨款收入</c:v>
                </c:pt>
                <c:pt idx="1">
                  <c:v>事业收入</c:v>
                </c:pt>
                <c:pt idx="2">
                  <c:v>其他收入</c:v>
                </c:pt>
              </c:strCache>
            </c:strRef>
          </c:cat>
          <c:val>
            <c:numRef>
              <c:f>Sheet1!$B$2:$B$4</c:f>
              <c:numCache>
                <c:formatCode>0.00%</c:formatCode>
                <c:ptCount val="3"/>
                <c:pt idx="0">
                  <c:v>0.0183</c:v>
                </c:pt>
                <c:pt idx="1">
                  <c:v>0.975900000000001</c:v>
                </c:pt>
                <c:pt idx="2">
                  <c:v>0.0058</c:v>
                </c:pt>
              </c:numCache>
            </c:numRef>
          </c:val>
        </c:ser>
        <c:dLbls>
          <c:showLegendKey val="0"/>
          <c:showVal val="1"/>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CF85FE625FBE4FEC94E0B0892CD75446"/>
        <w:style w:val=""/>
        <w:category>
          <w:name w:val="常规"/>
          <w:gallery w:val="placeholder"/>
        </w:category>
        <w:types>
          <w:type w:val="bbPlcHdr"/>
        </w:types>
        <w:behaviors>
          <w:behavior w:val="content"/>
        </w:behaviors>
        <w:description w:val=""/>
        <w:guid w:val="{706DB6BC-BB3B-4A33-8486-F94F79C88909}"/>
      </w:docPartPr>
      <w:docPartBody>
        <w:p>
          <w:pPr>
            <w:pStyle w:val="5"/>
          </w:pPr>
          <w:r>
            <w:rPr>
              <w:lang w:val="zh-CN"/>
            </w:rPr>
            <w:t>[键入公司名称]</w:t>
          </w:r>
        </w:p>
      </w:docPartBody>
    </w:docPart>
    <w:docPart>
      <w:docPartPr>
        <w:name w:val="A303684448BE45FD91E3CC7CAE08D97B"/>
        <w:style w:val=""/>
        <w:category>
          <w:name w:val="常规"/>
          <w:gallery w:val="placeholder"/>
        </w:category>
        <w:types>
          <w:type w:val="bbPlcHdr"/>
        </w:types>
        <w:behaviors>
          <w:behavior w:val="content"/>
        </w:behaviors>
        <w:description w:val=""/>
        <w:guid w:val="{4651C979-152D-445C-8127-14DBA4BB9CBC}"/>
      </w:docPartPr>
      <w:docPartBody>
        <w:p>
          <w:pPr>
            <w:pStyle w:val="10"/>
          </w:pPr>
          <w:r>
            <w:rPr>
              <w:lang w:val="zh-CN"/>
            </w:rPr>
            <w:t>[键入文档标题]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B11B5"/>
    <w:rsid w:val="000B11B5"/>
    <w:rsid w:val="001443EC"/>
    <w:rsid w:val="00226ACA"/>
    <w:rsid w:val="004E572A"/>
    <w:rsid w:val="009B51EF"/>
    <w:rsid w:val="00AE16F7"/>
    <w:rsid w:val="00CA4F8E"/>
    <w:rsid w:val="00E25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D6DF2CD257264F8CAA54B3FCA9F6D52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
    <w:name w:val="CF85FE625FBE4FEC94E0B0892CD7544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D2379062218A477C80E8D1D9ED1A18D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610D889AD2B1448583DF1A241FF0294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2FCCF82351C24E47956977EB3969EBA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29E57218FA5F4777BE983AA7F6D7B97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A303684448BE45FD91E3CC7CAE08D97B"/>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dataSourceCollection xmlns="http://www.yonyou.com/datasource"/>
</file>

<file path=customXml/item4.xml><?xml version="1.0" encoding="utf-8"?>
<relations xmlns="http://www.yonyou.com/rela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DC57F4-C808-4BF8-81BC-52B3B94EB136}">
  <ds:schemaRefs/>
</ds:datastoreItem>
</file>

<file path=customXml/itemProps3.xml><?xml version="1.0" encoding="utf-8"?>
<ds:datastoreItem xmlns:ds="http://schemas.openxmlformats.org/officeDocument/2006/customXml" ds:itemID="{60B6F5E9-FF54-4125-B844-D67D47ABB6D6}">
  <ds:schemaRefs/>
</ds:datastoreItem>
</file>

<file path=customXml/itemProps4.xml><?xml version="1.0" encoding="utf-8"?>
<ds:datastoreItem xmlns:ds="http://schemas.openxmlformats.org/officeDocument/2006/customXml" ds:itemID="{9D1CCB4C-BAB2-4CF9-84E4-0FA8C392D472}">
  <ds:schemaRefs/>
</ds:datastoreItem>
</file>

<file path=docProps/app.xml><?xml version="1.0" encoding="utf-8"?>
<Properties xmlns="http://schemas.openxmlformats.org/officeDocument/2006/extended-properties" xmlns:vt="http://schemas.openxmlformats.org/officeDocument/2006/docPropsVTypes">
  <Template>Normal</Template>
  <Company>益阳市中心医院2019年度决算报告</Company>
  <Pages>20</Pages>
  <Words>1685</Words>
  <Characters>9608</Characters>
  <Lines>80</Lines>
  <Paragraphs>22</Paragraphs>
  <TotalTime>16</TotalTime>
  <ScaleCrop>false</ScaleCrop>
  <LinksUpToDate>false</LinksUpToDate>
  <CharactersWithSpaces>11271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2020-09-22T09:17:00Z</dcterms:created>
  <dc:creator>Administrator</dc:creator>
  <cp:lastModifiedBy>Administrator</cp:lastModifiedBy>
  <dcterms:modified xsi:type="dcterms:W3CDTF">2021-06-02T06:56:38Z</dcterms:modified>
  <dc:title>益阳市中心医院2019年度部门决算</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08BBA2BA67904EEC8FE27D514786D861</vt:lpwstr>
  </property>
</Properties>
</file>